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222" w:rsidRPr="00233C21" w:rsidRDefault="00B32222" w:rsidP="00B32222">
      <w:pPr>
        <w:jc w:val="right"/>
        <w:rPr>
          <w:rFonts w:ascii="Calibri" w:hAnsi="Calibri"/>
          <w:b/>
          <w:bCs/>
          <w:sz w:val="28"/>
        </w:rPr>
      </w:pPr>
      <w:r w:rsidRPr="00233C21">
        <w:rPr>
          <w:rFonts w:ascii="Calibri" w:hAnsi="Calibri"/>
          <w:b/>
          <w:bCs/>
          <w:szCs w:val="20"/>
          <w:lang w:eastAsia="ar-SA"/>
        </w:rPr>
        <w:t>Załącznik nr 5 do umowy ubezpieczenia</w:t>
      </w:r>
    </w:p>
    <w:p w:rsidR="00B32222" w:rsidRPr="00233C21" w:rsidRDefault="00B32222" w:rsidP="00B32222">
      <w:pPr>
        <w:jc w:val="both"/>
        <w:rPr>
          <w:rFonts w:ascii="Calibri" w:hAnsi="Calibri"/>
          <w:bCs/>
        </w:rPr>
      </w:pPr>
    </w:p>
    <w:p w:rsidR="00B32222" w:rsidRPr="00233C21" w:rsidRDefault="00B32222" w:rsidP="00B32222">
      <w:pPr>
        <w:jc w:val="both"/>
        <w:rPr>
          <w:rFonts w:ascii="Calibri" w:hAnsi="Calibri"/>
          <w:bCs/>
        </w:rPr>
      </w:pPr>
    </w:p>
    <w:p w:rsidR="00B32222" w:rsidRPr="00233C21" w:rsidRDefault="00B32222" w:rsidP="00B32222">
      <w:pPr>
        <w:jc w:val="both"/>
        <w:rPr>
          <w:rFonts w:ascii="Calibri" w:hAnsi="Calibri"/>
          <w:b/>
          <w:szCs w:val="20"/>
        </w:rPr>
      </w:pPr>
      <w:r w:rsidRPr="00233C21">
        <w:rPr>
          <w:rFonts w:ascii="Calibri" w:hAnsi="Calibri"/>
          <w:b/>
          <w:i/>
          <w:iCs/>
          <w:szCs w:val="20"/>
        </w:rPr>
        <w:t>Pieczęć wykonawcy</w:t>
      </w:r>
      <w:r w:rsidRPr="00233C21">
        <w:rPr>
          <w:rFonts w:ascii="Calibri" w:hAnsi="Calibri"/>
          <w:b/>
          <w:szCs w:val="20"/>
        </w:rPr>
        <w:t>: ...............................................................</w:t>
      </w:r>
    </w:p>
    <w:p w:rsidR="00B32222" w:rsidRPr="00233C21" w:rsidRDefault="00B32222" w:rsidP="00B32222">
      <w:pPr>
        <w:ind w:left="2127"/>
        <w:jc w:val="both"/>
        <w:rPr>
          <w:rFonts w:ascii="Calibri" w:hAnsi="Calibri"/>
          <w:b/>
          <w:i/>
          <w:iCs/>
          <w:sz w:val="22"/>
          <w:szCs w:val="20"/>
          <w:lang w:eastAsia="ar-SA"/>
        </w:rPr>
      </w:pPr>
      <w:r w:rsidRPr="00233C21">
        <w:rPr>
          <w:rFonts w:ascii="Calibri" w:hAnsi="Calibri"/>
          <w:b/>
          <w:i/>
          <w:iCs/>
          <w:sz w:val="22"/>
          <w:szCs w:val="20"/>
          <w:lang w:eastAsia="ar-SA"/>
        </w:rPr>
        <w:t>( czytelna nazwa i adres wykonawcy)</w:t>
      </w:r>
    </w:p>
    <w:p w:rsidR="00B32222" w:rsidRPr="00233C21" w:rsidRDefault="00B32222" w:rsidP="00B32222">
      <w:pPr>
        <w:jc w:val="both"/>
        <w:rPr>
          <w:rFonts w:ascii="Calibri" w:hAnsi="Calibri"/>
          <w:bCs/>
        </w:rPr>
      </w:pPr>
    </w:p>
    <w:p w:rsidR="00B32222" w:rsidRPr="00233C21" w:rsidRDefault="00B32222" w:rsidP="00B32222">
      <w:pPr>
        <w:jc w:val="both"/>
        <w:rPr>
          <w:rFonts w:ascii="Calibri" w:hAnsi="Calibri"/>
          <w:bCs/>
        </w:rPr>
      </w:pPr>
    </w:p>
    <w:p w:rsidR="00B32222" w:rsidRPr="00233C21" w:rsidRDefault="00B32222" w:rsidP="00B32222">
      <w:pPr>
        <w:overflowPunct w:val="0"/>
        <w:autoSpaceDE w:val="0"/>
        <w:autoSpaceDN w:val="0"/>
        <w:adjustRightInd w:val="0"/>
        <w:jc w:val="both"/>
        <w:rPr>
          <w:rFonts w:ascii="Calibri" w:hAnsi="Calibri"/>
          <w:sz w:val="28"/>
          <w:szCs w:val="28"/>
        </w:rPr>
      </w:pPr>
      <w:r w:rsidRPr="00233C21">
        <w:rPr>
          <w:rFonts w:ascii="Calibri" w:hAnsi="Calibri"/>
          <w:b/>
          <w:bCs/>
          <w:sz w:val="28"/>
          <w:szCs w:val="28"/>
        </w:rPr>
        <w:t xml:space="preserve">Definicje klauzul </w:t>
      </w:r>
      <w:r w:rsidRPr="00233C21">
        <w:rPr>
          <w:rFonts w:ascii="Calibri" w:hAnsi="Calibri"/>
          <w:sz w:val="28"/>
          <w:szCs w:val="28"/>
        </w:rPr>
        <w:t>(które znajdują się w załącznikach nr 1-4) do umowy ubezpieczenia)</w:t>
      </w:r>
    </w:p>
    <w:p w:rsidR="00B32222" w:rsidRPr="00233C21" w:rsidRDefault="00B32222" w:rsidP="00B32222">
      <w:pPr>
        <w:tabs>
          <w:tab w:val="left" w:pos="11766"/>
        </w:tabs>
        <w:jc w:val="both"/>
        <w:rPr>
          <w:rFonts w:ascii="Calibri" w:hAnsi="Calibri"/>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418"/>
        <w:gridCol w:w="8079"/>
      </w:tblGrid>
      <w:tr w:rsidR="00B32222" w:rsidRPr="00233C21" w:rsidTr="00AB53FC">
        <w:tc>
          <w:tcPr>
            <w:tcW w:w="568" w:type="dxa"/>
            <w:shd w:val="clear" w:color="auto" w:fill="FABF8F"/>
          </w:tcPr>
          <w:p w:rsidR="00B32222" w:rsidRPr="00233C21" w:rsidRDefault="00B32222" w:rsidP="00AB53FC">
            <w:pPr>
              <w:jc w:val="center"/>
              <w:rPr>
                <w:rFonts w:ascii="Arial" w:hAnsi="Arial" w:cs="Arial"/>
                <w:b/>
                <w:sz w:val="16"/>
                <w:szCs w:val="16"/>
              </w:rPr>
            </w:pPr>
            <w:r w:rsidRPr="00233C21">
              <w:rPr>
                <w:rFonts w:ascii="Arial" w:hAnsi="Arial" w:cs="Arial"/>
                <w:b/>
                <w:sz w:val="16"/>
                <w:szCs w:val="16"/>
              </w:rPr>
              <w:t>NR</w:t>
            </w:r>
          </w:p>
        </w:tc>
        <w:tc>
          <w:tcPr>
            <w:tcW w:w="1418" w:type="dxa"/>
            <w:shd w:val="clear" w:color="auto" w:fill="FABF8F"/>
          </w:tcPr>
          <w:p w:rsidR="00B32222" w:rsidRPr="00233C21" w:rsidRDefault="00B32222" w:rsidP="00AB53FC">
            <w:pPr>
              <w:jc w:val="center"/>
              <w:rPr>
                <w:rFonts w:ascii="Arial" w:hAnsi="Arial" w:cs="Arial"/>
                <w:b/>
                <w:sz w:val="16"/>
                <w:szCs w:val="16"/>
              </w:rPr>
            </w:pPr>
            <w:r w:rsidRPr="00233C21">
              <w:rPr>
                <w:rFonts w:ascii="Arial" w:hAnsi="Arial" w:cs="Arial"/>
                <w:b/>
                <w:sz w:val="16"/>
                <w:szCs w:val="16"/>
              </w:rPr>
              <w:t>NAZWA KLAUZULI</w:t>
            </w:r>
          </w:p>
        </w:tc>
        <w:tc>
          <w:tcPr>
            <w:tcW w:w="8079" w:type="dxa"/>
            <w:shd w:val="clear" w:color="auto" w:fill="FABF8F"/>
          </w:tcPr>
          <w:p w:rsidR="00B32222" w:rsidRPr="00233C21" w:rsidRDefault="00B32222" w:rsidP="00AB53FC">
            <w:pPr>
              <w:jc w:val="center"/>
              <w:rPr>
                <w:rFonts w:ascii="Arial" w:hAnsi="Arial" w:cs="Arial"/>
                <w:b/>
                <w:sz w:val="16"/>
                <w:szCs w:val="16"/>
              </w:rPr>
            </w:pPr>
            <w:r w:rsidRPr="00233C21">
              <w:rPr>
                <w:rFonts w:ascii="Arial" w:hAnsi="Arial" w:cs="Arial"/>
                <w:b/>
                <w:sz w:val="16"/>
                <w:szCs w:val="16"/>
              </w:rPr>
              <w:t>TREŚĆ</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1</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płatności rat</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 xml:space="preserve">W przypadku wypłaty odszkodowania, Zakład Ubezpieczeń nie jest uprawniony do potrącenia z kwoty odszkodowania dla Ubezpieczającego rat jeszcze niewymagalnych oraz żądania zapłaty pozostałych rat . </w:t>
            </w:r>
          </w:p>
          <w:p w:rsidR="00B32222" w:rsidRPr="00233C21" w:rsidRDefault="00B32222" w:rsidP="00AB53FC">
            <w:pPr>
              <w:rPr>
                <w:rFonts w:ascii="Arial" w:hAnsi="Arial" w:cs="Arial"/>
                <w:sz w:val="16"/>
                <w:szCs w:val="16"/>
              </w:rPr>
            </w:pPr>
            <w:r w:rsidRPr="00233C21">
              <w:rPr>
                <w:rFonts w:ascii="Arial" w:hAnsi="Arial" w:cs="Arial"/>
                <w:sz w:val="16"/>
                <w:szCs w:val="16"/>
              </w:rPr>
              <w:t>W przypadku wypłaty jakiegokolwiek odszkodowania ubezpieczający zobowiązany jest do opłacenia pozostałych rat składki w uzgodnionych terminach i wysokościach.</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2</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reprezentantów</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Zakład Ubezpieczeń nie odpowiada za szkody wyrządzone umyślnie lub w skutek rażącego</w:t>
            </w:r>
          </w:p>
          <w:p w:rsidR="00B32222" w:rsidRPr="00233C21" w:rsidRDefault="00B32222" w:rsidP="00AB53FC">
            <w:pPr>
              <w:rPr>
                <w:rFonts w:ascii="Arial" w:hAnsi="Arial" w:cs="Arial"/>
                <w:sz w:val="16"/>
                <w:szCs w:val="16"/>
              </w:rPr>
            </w:pPr>
            <w:r w:rsidRPr="00233C21">
              <w:rPr>
                <w:rFonts w:ascii="Arial" w:hAnsi="Arial" w:cs="Arial"/>
                <w:sz w:val="16"/>
                <w:szCs w:val="16"/>
              </w:rPr>
              <w:t>niedbalstwa ubezpieczającego oraz osób za które ponosi odpowiedzialność , przy czym przez wymienione tu osoby rozumie się : akcjonariuszy , zarząd, prokurentów, właścicieli. Za osoby zatrudnione i współpracujące poza w/w stanowiskami ubezpieczający nie ponosi odpowiedzialności ( w tym również za czyny tych osób mające znamiona przestępstwa oraz biorących udział w przestępstwie jako wspólnicy lub pomocnicy ).</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3</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automatycznego pokrycia - ubezpieczenia nowego mienia - inwestycji</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1.</w:t>
            </w:r>
            <w:r w:rsidRPr="00233C21">
              <w:rPr>
                <w:rFonts w:ascii="Arial" w:hAnsi="Arial" w:cs="Arial"/>
                <w:sz w:val="16"/>
                <w:szCs w:val="16"/>
              </w:rPr>
              <w:tab/>
              <w:t>Z zachowaniem pozostałych, nie zmienionych niniejszą klauzulą postanowień ogólnych warunków ubezpieczenia i innych postanowień umowy ubezpieczenia, ustala się, że:</w:t>
            </w:r>
          </w:p>
          <w:p w:rsidR="00B32222" w:rsidRPr="00233C21" w:rsidRDefault="00B32222" w:rsidP="00AB53FC">
            <w:pPr>
              <w:rPr>
                <w:rFonts w:ascii="Arial" w:hAnsi="Arial" w:cs="Arial"/>
                <w:sz w:val="16"/>
                <w:szCs w:val="16"/>
              </w:rPr>
            </w:pPr>
            <w:r w:rsidRPr="00233C21">
              <w:rPr>
                <w:rFonts w:ascii="Arial" w:hAnsi="Arial" w:cs="Arial"/>
                <w:sz w:val="16"/>
                <w:szCs w:val="16"/>
              </w:rPr>
              <w:t>a)</w:t>
            </w:r>
            <w:r w:rsidRPr="00233C21">
              <w:rPr>
                <w:rFonts w:ascii="Arial" w:hAnsi="Arial" w:cs="Arial"/>
                <w:sz w:val="16"/>
                <w:szCs w:val="16"/>
              </w:rPr>
              <w:tab/>
              <w:t xml:space="preserve">nowo nabyte środki trwałe, </w:t>
            </w:r>
          </w:p>
          <w:p w:rsidR="00B32222" w:rsidRPr="00233C21" w:rsidRDefault="00B32222" w:rsidP="00AB53FC">
            <w:pPr>
              <w:rPr>
                <w:rFonts w:ascii="Arial" w:hAnsi="Arial" w:cs="Arial"/>
                <w:sz w:val="16"/>
                <w:szCs w:val="16"/>
              </w:rPr>
            </w:pPr>
            <w:r w:rsidRPr="00233C21">
              <w:rPr>
                <w:rFonts w:ascii="Arial" w:hAnsi="Arial" w:cs="Arial"/>
                <w:sz w:val="16"/>
                <w:szCs w:val="16"/>
              </w:rPr>
              <w:t>b)</w:t>
            </w:r>
            <w:r w:rsidRPr="00233C21">
              <w:rPr>
                <w:rFonts w:ascii="Arial" w:hAnsi="Arial" w:cs="Arial"/>
                <w:sz w:val="16"/>
                <w:szCs w:val="16"/>
              </w:rPr>
              <w:tab/>
              <w:t>wzrost wartości środków trwałych wskutek dokonanych inwestycji,</w:t>
            </w:r>
          </w:p>
          <w:p w:rsidR="00B32222" w:rsidRPr="00233C21" w:rsidRDefault="00B32222" w:rsidP="00AB53FC">
            <w:pPr>
              <w:rPr>
                <w:rFonts w:ascii="Arial" w:hAnsi="Arial" w:cs="Arial"/>
                <w:sz w:val="16"/>
                <w:szCs w:val="16"/>
              </w:rPr>
            </w:pPr>
            <w:r w:rsidRPr="00233C21">
              <w:rPr>
                <w:rFonts w:ascii="Arial" w:hAnsi="Arial" w:cs="Arial"/>
                <w:sz w:val="16"/>
                <w:szCs w:val="16"/>
              </w:rPr>
              <w:t>zostają objęte automatyczną ochroną ubezpieczeniową od chwili przejścia ryzyka ich posiadania na Ubezpieczającego do 20% aktualnej sumy ubezpieczenia. Automatyczna ochrona ubezpieczeniowa odnosi się wyłącznie do miejsc ubezpieczenia wskazanych w umowie ubezpieczenia. Przejście ryzyka związanego z posiadaniem nowych środków trwałych na Ubezpieczającego powinno być potwierdzone dokumentem np. fakturą zakupu lub protokołem zdawczo – odbiorczym</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4</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ograniczenia zasady proporcji LEEWAYA</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 zachowaniem pozostałych nie zmienionych niniejszą klauzulą postanowień ogólnych warunków ubezpieczenia i innych postanowień umowy ubezpieczenia, ustala się, że wyłączona zostaje zasada stosowania proporcjonalnej redukcji odszkodowania w przypadku, gdy wartość przedmiotu ubezpieczenia, przy uwzględnieniu rodzaju zadeklarowanej wartości będącej podstawą do ustalenia sumy ubezpieczenia, w dniu szkody nie przekracza 120 %  sumy ubezpieczenia tego przedmiotu lub gdy wysokość szkody nie przekracza 20%  sumy ubezpieczenia danego przedmiotu ubezpieczenia.</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5</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kradzieży zwykłej</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Ubezpieczyciel obejmuje ochroną ubezpieczeniową i przyjmuje do ubezpieczenia ryzyka kradzieży zwykłej mienia w tym: wyposażenia, maszyn, urządzeń i środków obrotowych, opakowań, elementów stałych budynków  znajdujących się w miejscu ubezpieczenia (zarówno w pomieszczeniach jak i na placu należącym do ubezpieczającego) z sumą ubezpieczenia 10 000,00 PLN.</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6</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przepięcia</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 zachowaniem pozostałych nie zmienionych niniejszą klauzulą postanowień ogólnych warunków ubezpieczenia i innych postanowień umowy ubezpieczenia, ustala się, że :</w:t>
            </w:r>
          </w:p>
          <w:p w:rsidR="00B32222" w:rsidRPr="00233C21" w:rsidRDefault="00B32222" w:rsidP="00AB53FC">
            <w:pPr>
              <w:rPr>
                <w:rFonts w:ascii="Arial" w:hAnsi="Arial" w:cs="Arial"/>
                <w:sz w:val="16"/>
                <w:szCs w:val="16"/>
              </w:rPr>
            </w:pPr>
            <w:r w:rsidRPr="00233C21">
              <w:rPr>
                <w:rFonts w:ascii="Arial" w:hAnsi="Arial" w:cs="Arial"/>
                <w:sz w:val="16"/>
                <w:szCs w:val="16"/>
              </w:rPr>
              <w:t xml:space="preserve">1) Zakład Ubezpieczeń obejmuje ochroną ubezpieczeniową szkody powstałe w wyniku przepięcia spowodowane zarówno wyładowaniem atmosferycznym, jak i powstałe wskutek innych niezależnych od Ubezpieczonego przyczyn zewnętrznych i/lub wewnętrznych. </w:t>
            </w:r>
          </w:p>
          <w:p w:rsidR="00B32222" w:rsidRPr="00233C21" w:rsidRDefault="00B32222" w:rsidP="00AB53FC">
            <w:pPr>
              <w:rPr>
                <w:rFonts w:ascii="Arial" w:hAnsi="Arial" w:cs="Arial"/>
                <w:sz w:val="16"/>
                <w:szCs w:val="16"/>
              </w:rPr>
            </w:pPr>
            <w:r w:rsidRPr="00233C21">
              <w:rPr>
                <w:rFonts w:ascii="Arial" w:hAnsi="Arial" w:cs="Arial"/>
                <w:sz w:val="16"/>
                <w:szCs w:val="16"/>
              </w:rPr>
              <w:t>2) Przez  przepięcie  należy  rozumieć krótkotrwały (impulsowy) wzrost napięcia przekraczający maksymalne dopuszczalne napięcie robocze lub indukcyjne wzbudzenie się niszczących sił elektromagnetycznych w obwodach elektrycznych.</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7</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miejsca ubezpieczenia  - lokalizacji</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KLAUZULA AUTOMATYCZNEJ OCHRONY DLA NOWYCH LOKALIZACJI )</w:t>
            </w:r>
          </w:p>
          <w:p w:rsidR="00B32222" w:rsidRPr="00233C21" w:rsidRDefault="00B32222" w:rsidP="00AB53FC">
            <w:pPr>
              <w:rPr>
                <w:rFonts w:ascii="Arial" w:hAnsi="Arial" w:cs="Arial"/>
                <w:sz w:val="16"/>
                <w:szCs w:val="16"/>
              </w:rPr>
            </w:pPr>
            <w:r w:rsidRPr="00233C21">
              <w:rPr>
                <w:rFonts w:ascii="Arial" w:hAnsi="Arial" w:cs="Arial"/>
                <w:sz w:val="16"/>
                <w:szCs w:val="16"/>
              </w:rPr>
              <w:t>Z zachowaniem pozostałych nie zmienionych niniejszą klauzulą postanowień ogólnych warunków ubezpieczenia i innych postanowień umowy ubezpieczenia, ustala się, że:</w:t>
            </w:r>
          </w:p>
          <w:p w:rsidR="00B32222" w:rsidRPr="00233C21" w:rsidRDefault="00B32222" w:rsidP="00AB53FC">
            <w:pPr>
              <w:rPr>
                <w:rFonts w:ascii="Arial" w:hAnsi="Arial" w:cs="Arial"/>
                <w:sz w:val="16"/>
                <w:szCs w:val="16"/>
              </w:rPr>
            </w:pPr>
            <w:r w:rsidRPr="00233C21">
              <w:rPr>
                <w:rFonts w:ascii="Arial" w:hAnsi="Arial" w:cs="Arial"/>
                <w:sz w:val="16"/>
                <w:szCs w:val="16"/>
              </w:rPr>
              <w:t>1)</w:t>
            </w:r>
            <w:r w:rsidRPr="00233C21">
              <w:rPr>
                <w:rFonts w:ascii="Arial" w:hAnsi="Arial" w:cs="Arial"/>
                <w:sz w:val="16"/>
                <w:szCs w:val="16"/>
              </w:rPr>
              <w:tab/>
              <w:t>Ochrona ubezpieczeniowa zostaje rozszerzona na mienie znajdujące się we wszystkich lokalizacjach na terenie RP, których użytkowanie Ubezpieczający rozpocznie w okresie ubezpieczenia. Ochrona ubezpieczeniowa rozpoczyna się od momentu przyjęcia danej lokalizacji do użytku (np. podpisania umowy najmu).</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8</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przemieszczania mienia</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 xml:space="preserve">Zakład Ubezpieczeń ponosi odpowiedzialność za szkody powstałe w ubezpieczonym mieniu również w przypadku jego przeniesienia do innej ubezpieczonej lokalizacji. Ochrona ubezpieczeniowa  obejmuje szkody powstałe  podczas transportu (w tym podczas załadunku i rozładunku), prac demontażowych/ budowlano-montażowych w ramach cargo wewnętrznego. </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9</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automatycznego pokrycia konsumpcji sumy ubezpieczenia</w:t>
            </w:r>
          </w:p>
        </w:tc>
        <w:tc>
          <w:tcPr>
            <w:tcW w:w="8079" w:type="dxa"/>
          </w:tcPr>
          <w:p w:rsidR="00B32222" w:rsidRPr="00233C21" w:rsidRDefault="00B32222" w:rsidP="00AB53FC">
            <w:pPr>
              <w:rPr>
                <w:rFonts w:ascii="Arial" w:hAnsi="Arial" w:cs="Arial"/>
                <w:sz w:val="16"/>
                <w:szCs w:val="16"/>
              </w:rPr>
            </w:pPr>
            <w:r w:rsidRPr="00B32222">
              <w:rPr>
                <w:rFonts w:ascii="Arial" w:hAnsi="Arial" w:cs="Arial"/>
                <w:sz w:val="16"/>
                <w:szCs w:val="16"/>
              </w:rPr>
              <w:t>Z zachowaniem pozostałych nie zmienionych niniejszą klauzulą postanowień ogólnych warunków ubezpieczenia oraz innych postanowień umowy ubezpieczenia, ustala się, że w razie redukcji po wypłacie odszkodowania sumy ubezpieczenia ustalonej w systemie na pierwsze ryzyko lub limitu odpowiedzialności na jedno i wszystkie zdarzenia w okresie ubezpieczenia  (system sum stałych) wskazanego w umowie ubezpieczenia Zakład Ubezpieczeń  automatycznie odtworzy taką sumę ubezpieczenia lub limit odpowiedzialności do pierwotnej wysokości, przy czym ubezpieczyciel może zażądać dodatkowej składki, jednak nie wyższej niż wskazanej w ofercie za to ryzyko</w:t>
            </w:r>
            <w:r>
              <w:rPr>
                <w:rFonts w:ascii="Arial" w:hAnsi="Arial" w:cs="Arial"/>
                <w:sz w:val="16"/>
                <w:szCs w:val="16"/>
              </w:rPr>
              <w:t>.</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10</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 xml:space="preserve">Klauzula przeniesienia prawa </w:t>
            </w:r>
            <w:r w:rsidRPr="00233C21">
              <w:rPr>
                <w:rFonts w:ascii="Arial" w:hAnsi="Arial" w:cs="Arial"/>
                <w:b/>
                <w:sz w:val="16"/>
                <w:szCs w:val="16"/>
              </w:rPr>
              <w:lastRenderedPageBreak/>
              <w:t>własności w ramach umowy leasingu zwrotnego</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lastRenderedPageBreak/>
              <w:t xml:space="preserve">Z zachowaniem pozostałych nie zmienionych niniejszą klauzulą postanowień ogólnych warunków ubezpieczenia i innych postanowień umowy ubezpieczenia, ustala się, że umowa ubezpieczenia nie ulega rozwiązaniu, jeżeli w okresie ubezpieczenia nastąpiło przeniesienie własności ubezpieczonych przedmiotów na </w:t>
            </w:r>
            <w:r w:rsidRPr="00233C21">
              <w:rPr>
                <w:rFonts w:ascii="Arial" w:hAnsi="Arial" w:cs="Arial"/>
                <w:sz w:val="16"/>
                <w:szCs w:val="16"/>
              </w:rPr>
              <w:lastRenderedPageBreak/>
              <w:t xml:space="preserve">firmę leasingową w oparciu o umowę leasingu zwrotnego zawartą pomiędzy Ubezpieczającym a firma leasingową i jednocześnie nie zostały zmienione warunki eksploatacji (w tym w szczególności zabezpieczenia przeciwpożarowe i </w:t>
            </w:r>
            <w:proofErr w:type="spellStart"/>
            <w:r w:rsidRPr="00233C21">
              <w:rPr>
                <w:rFonts w:ascii="Arial" w:hAnsi="Arial" w:cs="Arial"/>
                <w:sz w:val="16"/>
                <w:szCs w:val="16"/>
              </w:rPr>
              <w:t>przeciwkradzieżowe</w:t>
            </w:r>
            <w:proofErr w:type="spellEnd"/>
            <w:r w:rsidRPr="00233C21">
              <w:rPr>
                <w:rFonts w:ascii="Arial" w:hAnsi="Arial" w:cs="Arial"/>
                <w:sz w:val="16"/>
                <w:szCs w:val="16"/>
              </w:rPr>
              <w:t xml:space="preserve">  i miejsce ubezpieczenia przewłaszczonych rzeczy ruchomych.</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lastRenderedPageBreak/>
              <w:t>11</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regresowa</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 zachowaniem pozostałych nie zmienionych niniejszą klauzulą postanowień ogólnych warunków ubezpieczenia i innych postanowień umowy ubezpieczenia, ustala się, że Zakład Ubezpieczeń odstąpi od regresu do sprawcy szkody w przypadku, gdy zarówno sprawca jak i Ubezpieczający są powiązani kapitałowo.</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12</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ubezpieczenia kosztów usunięcia pozostałości po szkodzie</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 zachowaniem pozostałych nie zmienionych niniejszą klauzulą postanowień ogólnych warunków ubezpieczenia i innych postanowień umowy ubezpieczenia, ustala się, że Zakład Ubezpieczeń pokrywa ponad sumę ubezpieczenia uzasadnione i udokumentowane koszty poniesione przez Ubezpieczającego wynikłe z zaistnienia szkody objętej umową ubezpieczenia, powstałe w związku z uprzątnięciem pozostałości po szkodzie, łącznie z kosztami rozbiórki/ demontażu części niezdatnych do użytku, ich wywozem, składowaniem lub utylizacją. Ochrona obejmuje również koszty demontażu i ponownego montażu nieuszkodzonych części ubezpieczonego mienia, jeżeli czynności takie są niezbędne w celu przeprowadzenia naprawy mienia dotkniętego szkodą. Powyższe koszty objęte są ochroną ubezpieczeniową do limitu odpowiedzialności w wysokości 20% wartości szkody, jednak nie więcej niż 500 000,00 zł   w okresie ubezpieczenia. Ochrona ubezpieczeniowa nie dotyczy kosztów związanych z usunięciem zanieczyszczeń wody lub gleby i jej rekultywacją.</w:t>
            </w:r>
          </w:p>
          <w:p w:rsidR="00B32222" w:rsidRPr="00233C21" w:rsidRDefault="00B32222" w:rsidP="00AB53FC">
            <w:pPr>
              <w:rPr>
                <w:rFonts w:ascii="Arial" w:hAnsi="Arial" w:cs="Arial"/>
                <w:sz w:val="16"/>
                <w:szCs w:val="16"/>
              </w:rPr>
            </w:pPr>
            <w:r w:rsidRPr="00233C21">
              <w:rPr>
                <w:rFonts w:ascii="Arial" w:hAnsi="Arial" w:cs="Arial"/>
                <w:sz w:val="16"/>
                <w:szCs w:val="16"/>
              </w:rPr>
              <w:t>Ochrona ubezpieczeniowa udzielana na podstawie niniejszej klauzuli stanowi nadwyżkę w stosunku do ochrony gwarantowanej w granicach sumy ubezpieczenia w podstawowym zakresie ubezpieczenia mienia.</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13</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ubezpieczenia kosztów odtworzenia dokumentacji</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 xml:space="preserve">Z zachowaniem pozostałych nie zmienionych niniejszą klauzulą postanowień ogólnych warunków ubezpieczenia i innych postanowień umowy ubezpieczenia, ustala się, że Zakład Ubezpieczeń pokrywa ponad sumę ubezpieczenia uzasadnione i udokumentowane koszty odtworzeniem dokumentacji produkcyjnej lub zakładowej (aktów, planów, dokumentów, danych) uszkodzonej, zniszczonej lub utraconej; ochrona obejmuje wyłącznie koszty robocizny poniesione na takie odtworzenie dokumentacji z włączeniem przeprowadzenia niezbędnych badań i analiz oraz koszty odtworzenia nośników, na których dokumentacja była zawarta. </w:t>
            </w:r>
          </w:p>
          <w:p w:rsidR="00B32222" w:rsidRPr="00233C21" w:rsidRDefault="00B32222" w:rsidP="00AB53FC">
            <w:pPr>
              <w:rPr>
                <w:rFonts w:ascii="Arial" w:hAnsi="Arial" w:cs="Arial"/>
                <w:sz w:val="16"/>
                <w:szCs w:val="16"/>
              </w:rPr>
            </w:pPr>
            <w:r w:rsidRPr="00233C21">
              <w:rPr>
                <w:rFonts w:ascii="Arial" w:hAnsi="Arial" w:cs="Arial"/>
                <w:sz w:val="16"/>
                <w:szCs w:val="16"/>
              </w:rPr>
              <w:t xml:space="preserve">Powyższe koszty objęte są ochroną ubezpieczeniową do limitu odpowiedzialności w wysokości 10% wartości szkody, jednak nie więcej niż 30 000,00  zł  w okresie ubezpieczenia. </w:t>
            </w:r>
          </w:p>
          <w:p w:rsidR="00B32222" w:rsidRPr="00233C21" w:rsidRDefault="00B32222" w:rsidP="00AB53FC">
            <w:pPr>
              <w:rPr>
                <w:rFonts w:ascii="Arial" w:hAnsi="Arial" w:cs="Arial"/>
                <w:sz w:val="16"/>
                <w:szCs w:val="16"/>
              </w:rPr>
            </w:pPr>
            <w:r w:rsidRPr="00233C21">
              <w:rPr>
                <w:rFonts w:ascii="Arial" w:hAnsi="Arial" w:cs="Arial"/>
                <w:sz w:val="16"/>
                <w:szCs w:val="16"/>
              </w:rPr>
              <w:t>Ochrona ubezpieczeniowa udzielana na podstawie niniejszej klauzuli stanowi nadwyżkę w stosunku do ochrony gwarantowanej w granicach sumy ubezpieczenia w podstawowym zakresie ubezpieczenia mienia.</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14</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kosztów zabezpieczenia przed szkodą</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 xml:space="preserve">Z zachowaniem pozostałych nie zmienionych niniejszą klauzulą postanowień ogólnych warunków ubezpieczenia i innych postanowień umowy ubezpieczenia, ustala się, że w razie nieuchronności zajścia zdarzenia losowego objętego ochrona ubezpieczeniową, Zakład Ubezpieczeń pokrywa ponad sumę ubezpieczenia uzasadnione i udokumentowane koszty zabezpieczenia przed szkodą bezpośrednio zagrożonego mienia. </w:t>
            </w:r>
          </w:p>
          <w:p w:rsidR="00B32222" w:rsidRPr="00233C21" w:rsidRDefault="00B32222" w:rsidP="00AB53FC">
            <w:pPr>
              <w:rPr>
                <w:rFonts w:ascii="Arial" w:hAnsi="Arial" w:cs="Arial"/>
                <w:sz w:val="16"/>
                <w:szCs w:val="16"/>
              </w:rPr>
            </w:pPr>
            <w:r w:rsidRPr="00233C21">
              <w:rPr>
                <w:rFonts w:ascii="Arial" w:hAnsi="Arial" w:cs="Arial"/>
                <w:sz w:val="16"/>
                <w:szCs w:val="16"/>
              </w:rPr>
              <w:t>Limit odpowiedzialności w ramach niniejszej klauzuli wynosi 10% sumy ubezpieczenia mienia bezpośrednio zagrożonego szkodą, nie więcej niż 300 000,00 .zł .</w:t>
            </w:r>
          </w:p>
          <w:p w:rsidR="00B32222" w:rsidRPr="00233C21" w:rsidRDefault="00B32222" w:rsidP="00AB53FC">
            <w:pPr>
              <w:rPr>
                <w:rFonts w:ascii="Arial" w:hAnsi="Arial" w:cs="Arial"/>
                <w:sz w:val="16"/>
                <w:szCs w:val="16"/>
              </w:rPr>
            </w:pPr>
            <w:r w:rsidRPr="00233C21">
              <w:rPr>
                <w:rFonts w:ascii="Arial" w:hAnsi="Arial" w:cs="Arial"/>
                <w:sz w:val="16"/>
                <w:szCs w:val="16"/>
              </w:rPr>
              <w:t>Ochrona ubezpieczeniowa udzielana na podstawie niniejszej klauzuli stanowi nadwyżkę w stosunku do ochrony gwarantowanej w granicach sumy ubezpieczenia w podstawowym zakresie ubezpieczenia mienia.</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15</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 xml:space="preserve">Klauzula wynagrodzenia ekspertów  </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 zachowaniem pozostałych nie zmienionych niniejszą klauzulą postanowień ogólnych warunków ubezpieczenia i innych postanowień umowy ubezpieczenia, ustala się, że Zakład Ubezpieczeń obejmuje ochroną ubezpieczeniową wynagrodzenia należne ekspertom zewnętrznym: architektom, inspektorom, inżynierom, konsultantom, itp., które Ubezpieczający zobowiązany jest zapłacić, a których zatrudnienie jest konieczne w celu odtworzenia mienia dotkniętego szkodą, za którą Zakład Ubezpieczeń zobowiązał się wypłacić odszkodowanie na mocy powyższych warunków, pod warunkiem, że zatrudnienie eksperta było uzgodnione i zaakceptowane przez Zakład Ubezpieczeń</w:t>
            </w:r>
          </w:p>
          <w:p w:rsidR="00B32222" w:rsidRPr="00233C21" w:rsidRDefault="00B32222" w:rsidP="00AB53FC">
            <w:pPr>
              <w:rPr>
                <w:rFonts w:ascii="Arial" w:hAnsi="Arial" w:cs="Arial"/>
                <w:sz w:val="16"/>
                <w:szCs w:val="16"/>
              </w:rPr>
            </w:pPr>
            <w:r w:rsidRPr="00233C21">
              <w:rPr>
                <w:rFonts w:ascii="Arial" w:hAnsi="Arial" w:cs="Arial"/>
                <w:sz w:val="16"/>
                <w:szCs w:val="16"/>
              </w:rPr>
              <w:t>Ustala się limit odpowiedzialności 200.000 PLN</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16</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ubezpieczenia szyb i innych przedmiotów szklanych od stłuczenia</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 xml:space="preserve">     Z zachowaniem pozostałych nie zmienionych niniejszą klauzulą postanowień ogólnych warunków ubezpieczenia i innych postanowień umowy ubezpieczenia, ustala się, że Zakład Ubezpieczeń obejmuje ochroną ubezpieczeniową od ryzyka stłuczenia (rozbicia), zniszczenia, uszkodzenia szyby i inne przedmioty szklane lub z tworzyw podlegającym podobnym uszkodzeniom, należące do Ubezpieczającego lub będące w jego posiadaniu i stanowiące wyposażenie budynków, lokali oraz innych pomieszczeń użytkowych.</w:t>
            </w:r>
          </w:p>
          <w:p w:rsidR="00B32222" w:rsidRPr="00233C21" w:rsidRDefault="00B32222" w:rsidP="00AB53FC">
            <w:pPr>
              <w:rPr>
                <w:rFonts w:ascii="Arial" w:hAnsi="Arial" w:cs="Arial"/>
                <w:sz w:val="16"/>
                <w:szCs w:val="16"/>
              </w:rPr>
            </w:pPr>
            <w:r w:rsidRPr="00233C21">
              <w:rPr>
                <w:rFonts w:ascii="Arial" w:hAnsi="Arial" w:cs="Arial"/>
                <w:sz w:val="16"/>
                <w:szCs w:val="16"/>
              </w:rPr>
              <w:t>Suma ubezpieczenia – 10.000 PLN</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17</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dewastacji/wandalizmu</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 zachowaniem pozostałych nie zmienionych niniejszą klauzulą postanowień ogólnych warunków ubezpieczenia i innych postanowień umowy ubezpieczenia, ustala się, że Zakład Ubezpieczeń obejmuje ochroną ubezpieczeniową szkody powstałe wskutek dewastacji/wandalizmu, za które uważa się rozmyślne zniszczenie lub uszkodzenie ubezpieczonego mienia, spowodowane przez osoby trzecie.</w:t>
            </w:r>
          </w:p>
          <w:p w:rsidR="00B32222" w:rsidRPr="00233C21" w:rsidRDefault="00B32222" w:rsidP="00AB53FC">
            <w:pPr>
              <w:rPr>
                <w:rFonts w:ascii="Arial" w:hAnsi="Arial" w:cs="Arial"/>
                <w:sz w:val="16"/>
                <w:szCs w:val="16"/>
              </w:rPr>
            </w:pPr>
            <w:r w:rsidRPr="00233C21">
              <w:rPr>
                <w:rFonts w:ascii="Arial" w:hAnsi="Arial" w:cs="Arial"/>
                <w:sz w:val="16"/>
                <w:szCs w:val="16"/>
              </w:rPr>
              <w:t>Ochrona ubezpieczeniowa nie dotyczy obiektów opuszczonych i niewykorzystywanych przez okres dłuższy niż 30 dni.</w:t>
            </w:r>
          </w:p>
          <w:p w:rsidR="00B32222" w:rsidRPr="00233C21" w:rsidRDefault="00B32222" w:rsidP="00AB53FC">
            <w:pPr>
              <w:rPr>
                <w:rFonts w:ascii="Arial" w:hAnsi="Arial" w:cs="Arial"/>
                <w:sz w:val="16"/>
                <w:szCs w:val="16"/>
              </w:rPr>
            </w:pPr>
            <w:r w:rsidRPr="00233C21">
              <w:rPr>
                <w:rFonts w:ascii="Arial" w:hAnsi="Arial" w:cs="Arial"/>
                <w:sz w:val="16"/>
                <w:szCs w:val="16"/>
              </w:rPr>
              <w:t>Limit odpowiedzialności:10 000,00 zł   dla szkód powstałych wskutek pomalowania (w tym graffiti).</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18</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składowania</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 zachowaniem pozostałych nie zmienionych niniejszą klauzulą postanowień ogólnych warunków ubezpieczenia i innych postanowień umowy ubezpieczenia, ustala się, że w przypadku szkód powstałych w wyniku zalania od podłoża, Zakład Ubezpieczeń ponosi odpowiedzialność także za mienie składowane bezpośrednio na podłodze..</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19</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ubezpieczenia urządzeń zewnętrznych</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 zachowaniem pozostałych nie zmienionych niniejszą klauzulą postanowień ogólnych warunków ubezpieczenia i innych postanowień umowy ubezpieczenia, ustala się, że Zakład Ubezpieczeń obejmuje ochroną ubezpieczeniową od ryzyka kradzieży lub dewastacji urządzenia zewnętrzne należące do Ubezpieczającego, zainstalowane na budynkach lub budowlach stanowiących własność lub użytkowanych przez Ubezpieczającego.</w:t>
            </w:r>
          </w:p>
          <w:p w:rsidR="00B32222" w:rsidRPr="00233C21" w:rsidRDefault="00B32222" w:rsidP="00AB53FC">
            <w:pPr>
              <w:rPr>
                <w:rFonts w:ascii="Arial" w:hAnsi="Arial" w:cs="Arial"/>
                <w:sz w:val="16"/>
                <w:szCs w:val="16"/>
              </w:rPr>
            </w:pPr>
            <w:r w:rsidRPr="00233C21">
              <w:rPr>
                <w:rFonts w:ascii="Arial" w:hAnsi="Arial" w:cs="Arial"/>
                <w:sz w:val="16"/>
                <w:szCs w:val="16"/>
              </w:rPr>
              <w:t>Urządzenia powinny być zainstalowane i zabezpieczone w taki sposób, aby ich wymontowanie nie było możliwe bez pozostawienia śladów użycia siły lub narzędzi. Limit odpowiedzialności: 20 000,00 zł  na jedno i wszystkie zdarzenia. Franszyza redukcyjna: 10% wartości szkody</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20</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 xml:space="preserve">Klauzula poszukiwania wycieków  </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 xml:space="preserve">Z zachowaniem pozostałych nie zmienionych niniejszą klauzulą postanowień ogólnych warunków ubezpieczenia i innych postanowień umowy ubezpieczenia, ustala się, że ochrona ubezpieczeniowa obejmuje koszty poszukiwania wycieków z instalacji wodno-kanalizacyjnej oraz usunięcia skutków takich poszukiwań </w:t>
            </w:r>
            <w:r w:rsidRPr="00233C21">
              <w:rPr>
                <w:rFonts w:ascii="Arial" w:hAnsi="Arial" w:cs="Arial"/>
                <w:sz w:val="16"/>
                <w:szCs w:val="16"/>
              </w:rPr>
              <w:lastRenderedPageBreak/>
              <w:t>maksymalnie do wysokości 30 000,00 zł na jedno i wszystkie zdarzenia w okresie ubezpieczenia</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lastRenderedPageBreak/>
              <w:t>21</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ubezpieczenia zwiększonych kosztów</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Zakres ochrony ubezpieczeniowej zostaje rozszerzony o koszty dodatkowe związane z zastosowaniem rozwiązań mających na celu uniknięcie lub zmniejszenie zakłóceń w prowadzeniu działalności gospodarczej, a szczególności o koszty dodatkowe wynikające z konieczności przeniesienia lokalizacji będące konsekwencją szkody od ognia i innych zdarzeń losowych z uwzględnieniem wszystkich postanowień dodatkowych i pozostałych klauzul. Ubezpieczyciel pokryje koszty od momentu szkody do dnia uruchomienia nowej placówki, jednak poniesionych nie później niż w ciągu 4 miesiącach od zdarzenia.</w:t>
            </w:r>
          </w:p>
          <w:p w:rsidR="00B32222" w:rsidRPr="00233C21" w:rsidRDefault="00B32222" w:rsidP="00AB53FC">
            <w:pPr>
              <w:rPr>
                <w:rFonts w:ascii="Arial" w:hAnsi="Arial" w:cs="Arial"/>
                <w:sz w:val="16"/>
                <w:szCs w:val="16"/>
              </w:rPr>
            </w:pPr>
            <w:r w:rsidRPr="00233C21">
              <w:rPr>
                <w:rFonts w:ascii="Arial" w:hAnsi="Arial" w:cs="Arial"/>
                <w:sz w:val="16"/>
                <w:szCs w:val="16"/>
              </w:rPr>
              <w:t xml:space="preserve">Limit odpowiedzialności 500.000 PLN   </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22</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ochrony środków obrotowych od ryzyka zepsucia</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Zakład Ubezpieczeń obejmuje ochroną ubezpieczeniową ryzyko zepsucia towaru (środków obrotowych) wskutek rozmrożenia i znacznego wzrostu temperatury będącego następstwem:</w:t>
            </w:r>
          </w:p>
          <w:p w:rsidR="00B32222" w:rsidRPr="00233C21" w:rsidRDefault="00B32222" w:rsidP="00AB53FC">
            <w:pPr>
              <w:rPr>
                <w:rFonts w:ascii="Arial" w:hAnsi="Arial" w:cs="Arial"/>
                <w:sz w:val="16"/>
                <w:szCs w:val="16"/>
              </w:rPr>
            </w:pPr>
            <w:r w:rsidRPr="00233C21">
              <w:rPr>
                <w:rFonts w:ascii="Arial" w:hAnsi="Arial" w:cs="Arial"/>
                <w:sz w:val="16"/>
                <w:szCs w:val="16"/>
              </w:rPr>
              <w:t>a.)</w:t>
            </w:r>
            <w:r w:rsidRPr="00233C21">
              <w:rPr>
                <w:rFonts w:ascii="Arial" w:hAnsi="Arial" w:cs="Arial"/>
                <w:sz w:val="16"/>
                <w:szCs w:val="16"/>
              </w:rPr>
              <w:tab/>
              <w:t>przerwy w dostawie przez zakład energetyczny prądu elektrycznego trwający ponad jedną godzinę,</w:t>
            </w:r>
          </w:p>
          <w:p w:rsidR="00B32222" w:rsidRPr="00233C21" w:rsidRDefault="00B32222" w:rsidP="00AB53FC">
            <w:pPr>
              <w:rPr>
                <w:rFonts w:ascii="Arial" w:hAnsi="Arial" w:cs="Arial"/>
                <w:sz w:val="16"/>
                <w:szCs w:val="16"/>
              </w:rPr>
            </w:pPr>
            <w:r w:rsidRPr="00233C21">
              <w:rPr>
                <w:rFonts w:ascii="Arial" w:hAnsi="Arial" w:cs="Arial"/>
                <w:sz w:val="16"/>
                <w:szCs w:val="16"/>
              </w:rPr>
              <w:t>b.)</w:t>
            </w:r>
            <w:r w:rsidRPr="00233C21">
              <w:rPr>
                <w:rFonts w:ascii="Arial" w:hAnsi="Arial" w:cs="Arial"/>
                <w:sz w:val="16"/>
                <w:szCs w:val="16"/>
              </w:rPr>
              <w:tab/>
              <w:t>uszkodzenia urządzeń chłodniczych w wyniku bezpośredniego i/lub pośredniego uderzenia pioruna, jak również w wyniku przepięć z innych przyczyn.</w:t>
            </w:r>
          </w:p>
          <w:p w:rsidR="00B32222" w:rsidRPr="00233C21" w:rsidRDefault="00B32222" w:rsidP="00AB53FC">
            <w:pPr>
              <w:rPr>
                <w:rFonts w:ascii="Arial" w:hAnsi="Arial" w:cs="Arial"/>
                <w:sz w:val="16"/>
                <w:szCs w:val="16"/>
              </w:rPr>
            </w:pPr>
            <w:r w:rsidRPr="00233C21">
              <w:rPr>
                <w:rFonts w:ascii="Arial" w:hAnsi="Arial" w:cs="Arial"/>
                <w:sz w:val="16"/>
                <w:szCs w:val="16"/>
              </w:rPr>
              <w:t>c.)</w:t>
            </w:r>
            <w:r w:rsidRPr="00233C21">
              <w:rPr>
                <w:rFonts w:ascii="Arial" w:hAnsi="Arial" w:cs="Arial"/>
                <w:sz w:val="16"/>
                <w:szCs w:val="16"/>
              </w:rPr>
              <w:tab/>
              <w:t>awarii urządzeń chłodniczych ,</w:t>
            </w:r>
          </w:p>
          <w:p w:rsidR="00B32222" w:rsidRPr="00233C21" w:rsidRDefault="00B32222" w:rsidP="00AB53FC">
            <w:pPr>
              <w:rPr>
                <w:rFonts w:ascii="Arial" w:hAnsi="Arial" w:cs="Arial"/>
                <w:sz w:val="16"/>
                <w:szCs w:val="16"/>
              </w:rPr>
            </w:pPr>
            <w:r w:rsidRPr="00233C21">
              <w:rPr>
                <w:rFonts w:ascii="Arial" w:hAnsi="Arial" w:cs="Arial"/>
                <w:sz w:val="16"/>
                <w:szCs w:val="16"/>
              </w:rPr>
              <w:t>d.)</w:t>
            </w:r>
            <w:r w:rsidRPr="00233C21">
              <w:rPr>
                <w:rFonts w:ascii="Arial" w:hAnsi="Arial" w:cs="Arial"/>
                <w:sz w:val="16"/>
                <w:szCs w:val="16"/>
              </w:rPr>
              <w:tab/>
              <w:t>kolizji drogowej, wypadku, uszkodzenia środka transportu.</w:t>
            </w:r>
          </w:p>
          <w:p w:rsidR="00B32222" w:rsidRPr="00233C21" w:rsidRDefault="00B32222" w:rsidP="00AB53FC">
            <w:pPr>
              <w:rPr>
                <w:rFonts w:ascii="Arial" w:hAnsi="Arial" w:cs="Arial"/>
                <w:sz w:val="16"/>
                <w:szCs w:val="16"/>
              </w:rPr>
            </w:pPr>
            <w:r w:rsidRPr="00233C21">
              <w:rPr>
                <w:rFonts w:ascii="Arial" w:hAnsi="Arial" w:cs="Arial"/>
                <w:sz w:val="16"/>
                <w:szCs w:val="16"/>
              </w:rPr>
              <w:t>Limit odpowiedzialności ( dla ryzyka w punkcie c.)  - 20% sumy ubezpieczenia</w:t>
            </w:r>
          </w:p>
          <w:p w:rsidR="00B32222" w:rsidRPr="00233C21" w:rsidRDefault="00B32222" w:rsidP="00AB53FC">
            <w:pPr>
              <w:rPr>
                <w:rFonts w:ascii="Arial" w:hAnsi="Arial" w:cs="Arial"/>
                <w:sz w:val="16"/>
                <w:szCs w:val="16"/>
              </w:rPr>
            </w:pPr>
            <w:r w:rsidRPr="00233C21">
              <w:rPr>
                <w:rFonts w:ascii="Arial" w:hAnsi="Arial" w:cs="Arial"/>
                <w:sz w:val="16"/>
                <w:szCs w:val="16"/>
              </w:rPr>
              <w:t xml:space="preserve">Limit odpowiedzialności ( dla pozostałych </w:t>
            </w:r>
            <w:proofErr w:type="spellStart"/>
            <w:r w:rsidRPr="00233C21">
              <w:rPr>
                <w:rFonts w:ascii="Arial" w:hAnsi="Arial" w:cs="Arial"/>
                <w:sz w:val="16"/>
                <w:szCs w:val="16"/>
              </w:rPr>
              <w:t>ryzyk</w:t>
            </w:r>
            <w:proofErr w:type="spellEnd"/>
            <w:r w:rsidRPr="00233C21">
              <w:rPr>
                <w:rFonts w:ascii="Arial" w:hAnsi="Arial" w:cs="Arial"/>
                <w:sz w:val="16"/>
                <w:szCs w:val="16"/>
              </w:rPr>
              <w:t xml:space="preserve"> ) – 100% sumy ubezpieczenia</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23</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opadów śniegu</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Ochroną ubezpieczeniową objęte zostają szkody wynikłe z obfitych opadów śniegu, które spowodują uszkodzenie konstrukcji budynku od ciężaru śniegu lub zalanie wynikłe z szybkiego topnienia  mas śniegu; zakresem ochrony objęte jest również  zawalenie się pod wpływem ciężaru śniegu mienia sąsiedniego na mienie ubezpieczone.</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24</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 xml:space="preserve">Klauzula warunków i taryf  </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W przypadku doubezpieczenia, uzupełniania lub podwyższenia sumy ubezpieczenia (gwarancyjnej) w okresie ubezpieczenia, zastosowanie mieć będą warunki umowy oraz taryfa składek obowiązujące w stosunku do polisy zasadniczej.</w:t>
            </w:r>
          </w:p>
        </w:tc>
      </w:tr>
      <w:tr w:rsidR="00B32222" w:rsidRPr="00233C21" w:rsidTr="00AB53FC">
        <w:trPr>
          <w:trHeight w:val="1402"/>
        </w:trPr>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25</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katastrofy budowlanej</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Ochrona ubezpieczeniowa zostaje rozszerzona o szkody powstałe wskutek katastrofy budowlanej. Przez katastrofę budowlaną rozumie się niezamierzone, gwałtowne zniszczenie budynku lub budowli lub ich części, a także konstrukcyjnych elementów rusztowań, elementów urządzeń formujących , ścianek szczelnych i obudowy wykopu, oraz uszkodzenia regałów wysokiego składowania. Zakresem nie są objęte szkody powstałe w budynkach i budowlach przeznaczonych do rozbiórki.</w:t>
            </w:r>
          </w:p>
          <w:p w:rsidR="00B32222" w:rsidRPr="00233C21" w:rsidRDefault="00B32222" w:rsidP="00AB53FC">
            <w:pPr>
              <w:rPr>
                <w:rFonts w:ascii="Arial" w:hAnsi="Arial" w:cs="Arial"/>
                <w:sz w:val="16"/>
                <w:szCs w:val="16"/>
              </w:rPr>
            </w:pPr>
            <w:r w:rsidRPr="00233C21">
              <w:rPr>
                <w:rFonts w:ascii="Arial" w:hAnsi="Arial" w:cs="Arial"/>
                <w:sz w:val="16"/>
                <w:szCs w:val="16"/>
              </w:rPr>
              <w:t>Limit odpowiedzialności w ramach sum ubezpieczenia.</w:t>
            </w:r>
          </w:p>
        </w:tc>
      </w:tr>
      <w:tr w:rsidR="00B32222" w:rsidRPr="00233C21" w:rsidTr="00AB53FC">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26</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miejscowa rozstrzygania sporów</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 xml:space="preserve">Spory wynikające z umów ubezpieczenia rozpatrują sądy właściwe dla siedziby ubezpieczającego lub brokera. </w:t>
            </w:r>
          </w:p>
          <w:p w:rsidR="00B32222" w:rsidRPr="00233C21" w:rsidRDefault="00B32222" w:rsidP="00AB53FC">
            <w:pPr>
              <w:rPr>
                <w:rFonts w:ascii="Arial" w:hAnsi="Arial" w:cs="Arial"/>
                <w:sz w:val="16"/>
                <w:szCs w:val="16"/>
              </w:rPr>
            </w:pPr>
            <w:r w:rsidRPr="00233C21">
              <w:rPr>
                <w:rFonts w:ascii="Arial" w:hAnsi="Arial" w:cs="Arial"/>
                <w:sz w:val="16"/>
                <w:szCs w:val="16"/>
              </w:rPr>
              <w:t>Dotyczy wszystkich zawartych umów ubezpieczeniowych.</w:t>
            </w:r>
          </w:p>
        </w:tc>
      </w:tr>
      <w:tr w:rsidR="00B32222" w:rsidRPr="00233C21" w:rsidTr="00AB53FC">
        <w:trPr>
          <w:trHeight w:val="1116"/>
        </w:trPr>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27</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wyrównania okresów OC - komunikacyjnego</w:t>
            </w:r>
          </w:p>
        </w:tc>
        <w:tc>
          <w:tcPr>
            <w:tcW w:w="8079" w:type="dxa"/>
          </w:tcPr>
          <w:p w:rsidR="00B32222" w:rsidRPr="00233C21" w:rsidRDefault="00B32222" w:rsidP="00AB53FC">
            <w:pPr>
              <w:rPr>
                <w:rFonts w:ascii="Arial" w:hAnsi="Arial" w:cs="Arial"/>
                <w:color w:val="000000"/>
                <w:sz w:val="16"/>
                <w:szCs w:val="16"/>
              </w:rPr>
            </w:pPr>
            <w:r w:rsidRPr="00233C21">
              <w:rPr>
                <w:rFonts w:ascii="Arial" w:hAnsi="Arial" w:cs="Arial"/>
                <w:color w:val="000000"/>
                <w:sz w:val="16"/>
                <w:szCs w:val="16"/>
              </w:rPr>
              <w:t>TU SA w oparciu o art. 353KC wraz z rozszerzeniami wyraz zgodę na rozwiązanie (na zasadzie porozumienia stron) wszystkich jednostkowych umów, których okres ekspiracji wykracza poza dzień końca Umowy Generalnej i tym samym na nieopłacenie przez Ubezpieczającego II raty składki pod następującymi warunkami w przypadku Ubezpieczeń OC:</w:t>
            </w:r>
          </w:p>
          <w:p w:rsidR="00B32222" w:rsidRPr="00233C21" w:rsidRDefault="00B32222" w:rsidP="00AB53FC">
            <w:pPr>
              <w:rPr>
                <w:rFonts w:ascii="Arial" w:hAnsi="Arial" w:cs="Arial"/>
                <w:color w:val="000000"/>
                <w:sz w:val="16"/>
                <w:szCs w:val="16"/>
              </w:rPr>
            </w:pPr>
            <w:r w:rsidRPr="00233C21">
              <w:rPr>
                <w:rFonts w:ascii="Arial" w:hAnsi="Arial" w:cs="Arial"/>
                <w:color w:val="000000"/>
                <w:sz w:val="16"/>
                <w:szCs w:val="16"/>
              </w:rPr>
              <w:t>- Ubezpieczający zdecyduje się kontynuować ubezpieczenie OC w TU SA</w:t>
            </w:r>
          </w:p>
          <w:p w:rsidR="00B32222" w:rsidRPr="00233C21" w:rsidRDefault="00B32222" w:rsidP="00AB53FC">
            <w:pPr>
              <w:rPr>
                <w:rFonts w:ascii="Arial" w:hAnsi="Arial" w:cs="Arial"/>
                <w:sz w:val="16"/>
                <w:szCs w:val="16"/>
              </w:rPr>
            </w:pPr>
            <w:r w:rsidRPr="00233C21">
              <w:rPr>
                <w:rFonts w:ascii="Arial" w:hAnsi="Arial" w:cs="Arial"/>
                <w:color w:val="000000"/>
                <w:sz w:val="16"/>
                <w:szCs w:val="16"/>
              </w:rPr>
              <w:t>- W przypadku podjęcia przez Ubezpieczającego decyzji o nie kontynuowaniu ubezpieczenia OC u aktualnego ubezpieczyciela, jednakże klient zobowiązany jest dostarczyć</w:t>
            </w:r>
            <w:r w:rsidRPr="00233C21">
              <w:rPr>
                <w:rFonts w:ascii="Arial" w:hAnsi="Arial" w:cs="Arial"/>
                <w:vanish/>
                <w:color w:val="000000"/>
                <w:sz w:val="16"/>
                <w:szCs w:val="16"/>
              </w:rPr>
              <w:t>azany eczeniowych.i 200.000 PLN</w:t>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vanish/>
                <w:color w:val="000000"/>
                <w:sz w:val="16"/>
                <w:szCs w:val="16"/>
              </w:rPr>
              <w:pgNum/>
            </w:r>
            <w:r w:rsidRPr="00233C21">
              <w:rPr>
                <w:rFonts w:ascii="Arial" w:hAnsi="Arial" w:cs="Arial"/>
                <w:color w:val="000000"/>
                <w:sz w:val="16"/>
                <w:szCs w:val="16"/>
              </w:rPr>
              <w:t xml:space="preserve"> podpisane  oświadczenie przez nowego Ubezpieczyciela, informujące o zawarciu nowych dwunastomiesięcznych polis OC z datą następującą po wygaśnięciu Umowy Generalnej lub </w:t>
            </w:r>
            <w:proofErr w:type="spellStart"/>
            <w:r w:rsidRPr="00233C21">
              <w:rPr>
                <w:rFonts w:ascii="Arial" w:hAnsi="Arial" w:cs="Arial"/>
                <w:color w:val="000000"/>
                <w:sz w:val="16"/>
                <w:szCs w:val="16"/>
              </w:rPr>
              <w:t>skanu</w:t>
            </w:r>
            <w:proofErr w:type="spellEnd"/>
            <w:r w:rsidRPr="00233C21">
              <w:rPr>
                <w:rFonts w:ascii="Arial" w:hAnsi="Arial" w:cs="Arial"/>
                <w:color w:val="000000"/>
                <w:sz w:val="16"/>
                <w:szCs w:val="16"/>
              </w:rPr>
              <w:t xml:space="preserve"> nowej polisy z wyszczególnionymi numerami rejestracyjnymi pojazdów.</w:t>
            </w:r>
          </w:p>
        </w:tc>
      </w:tr>
      <w:tr w:rsidR="00B32222" w:rsidRPr="00233C21" w:rsidTr="00AB53FC">
        <w:trPr>
          <w:trHeight w:val="681"/>
        </w:trPr>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28</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drobnych prac remontowych</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Zakład Ubezpieczeń przyjmuje odpowiedzialność w ramach zawartych umów ubezpieczenia niezależnie od realizowanych, zwyczajowo przyjętych prac  remontowo-modernizacyjnych, celem utrzymania, lub poprawy stanu technicznego posiadanych obiektów.</w:t>
            </w:r>
          </w:p>
        </w:tc>
      </w:tr>
      <w:tr w:rsidR="00B32222" w:rsidRPr="00233C21" w:rsidTr="00AB53FC">
        <w:trPr>
          <w:trHeight w:val="681"/>
        </w:trPr>
        <w:tc>
          <w:tcPr>
            <w:tcW w:w="568" w:type="dxa"/>
          </w:tcPr>
          <w:p w:rsidR="00B32222" w:rsidRPr="00233C21" w:rsidRDefault="00B32222" w:rsidP="00AB53FC">
            <w:pPr>
              <w:rPr>
                <w:rFonts w:ascii="Arial" w:hAnsi="Arial" w:cs="Arial"/>
                <w:b/>
                <w:sz w:val="16"/>
                <w:szCs w:val="16"/>
              </w:rPr>
            </w:pPr>
            <w:r w:rsidRPr="00233C21">
              <w:rPr>
                <w:rFonts w:ascii="Arial" w:hAnsi="Arial" w:cs="Arial"/>
                <w:b/>
                <w:sz w:val="16"/>
                <w:szCs w:val="16"/>
              </w:rPr>
              <w:t>29</w:t>
            </w:r>
          </w:p>
        </w:tc>
        <w:tc>
          <w:tcPr>
            <w:tcW w:w="1418" w:type="dxa"/>
          </w:tcPr>
          <w:p w:rsidR="00B32222" w:rsidRPr="00233C21" w:rsidRDefault="00B32222" w:rsidP="00AB53FC">
            <w:pPr>
              <w:rPr>
                <w:rFonts w:ascii="Arial" w:hAnsi="Arial" w:cs="Arial"/>
                <w:b/>
                <w:sz w:val="16"/>
                <w:szCs w:val="16"/>
              </w:rPr>
            </w:pPr>
            <w:r w:rsidRPr="00233C21">
              <w:rPr>
                <w:rFonts w:ascii="Arial" w:hAnsi="Arial" w:cs="Arial"/>
                <w:b/>
                <w:sz w:val="16"/>
                <w:szCs w:val="16"/>
              </w:rPr>
              <w:t>Klauzula włączenia szkód w mieniu w ramach transportu wewnętrznego</w:t>
            </w:r>
          </w:p>
        </w:tc>
        <w:tc>
          <w:tcPr>
            <w:tcW w:w="8079" w:type="dxa"/>
          </w:tcPr>
          <w:p w:rsidR="00B32222" w:rsidRPr="00233C21" w:rsidRDefault="00B32222" w:rsidP="00AB53FC">
            <w:pPr>
              <w:rPr>
                <w:rFonts w:ascii="Arial" w:hAnsi="Arial" w:cs="Arial"/>
                <w:sz w:val="16"/>
                <w:szCs w:val="16"/>
              </w:rPr>
            </w:pPr>
            <w:r w:rsidRPr="00233C21">
              <w:rPr>
                <w:rFonts w:ascii="Arial" w:hAnsi="Arial" w:cs="Arial"/>
                <w:sz w:val="16"/>
                <w:szCs w:val="16"/>
              </w:rPr>
              <w:t>Szkody powstałe podczas przewozu mienia w ramach transportu wewnętrznego, włącza się jako ryzyko dodatkowe.  Ochrona obejmuje się również szkody powstałe przez uszkodzenie mienia przez pojazd własny, w tym podlegający rejestracji.</w:t>
            </w:r>
          </w:p>
        </w:tc>
      </w:tr>
    </w:tbl>
    <w:p w:rsidR="00B32222" w:rsidRPr="00233C21" w:rsidRDefault="00B32222" w:rsidP="00B32222">
      <w:pPr>
        <w:tabs>
          <w:tab w:val="left" w:pos="11766"/>
        </w:tabs>
        <w:jc w:val="both"/>
        <w:rPr>
          <w:rFonts w:ascii="Calibri" w:hAnsi="Calibri"/>
        </w:rPr>
      </w:pPr>
    </w:p>
    <w:p w:rsidR="00B32222" w:rsidRPr="00233C21" w:rsidRDefault="00B32222" w:rsidP="00B32222">
      <w:pPr>
        <w:tabs>
          <w:tab w:val="left" w:pos="11766"/>
        </w:tabs>
        <w:jc w:val="both"/>
        <w:rPr>
          <w:rFonts w:ascii="Calibri" w:hAnsi="Calibri"/>
        </w:rPr>
      </w:pPr>
    </w:p>
    <w:p w:rsidR="00B32222" w:rsidRPr="00233C21" w:rsidRDefault="00B32222" w:rsidP="00B32222">
      <w:pPr>
        <w:tabs>
          <w:tab w:val="left" w:pos="11766"/>
        </w:tabs>
        <w:jc w:val="both"/>
        <w:rPr>
          <w:rFonts w:ascii="Calibri" w:hAnsi="Calibri"/>
        </w:rPr>
      </w:pPr>
    </w:p>
    <w:tbl>
      <w:tblPr>
        <w:tblW w:w="10331"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31"/>
      </w:tblGrid>
      <w:tr w:rsidR="00B32222" w:rsidRPr="00233C21" w:rsidTr="00AB53FC">
        <w:trPr>
          <w:trHeight w:val="720"/>
          <w:jc w:val="center"/>
        </w:trPr>
        <w:tc>
          <w:tcPr>
            <w:tcW w:w="10331" w:type="dxa"/>
            <w:tcBorders>
              <w:top w:val="single" w:sz="4" w:space="0" w:color="auto"/>
              <w:left w:val="single" w:sz="4" w:space="0" w:color="auto"/>
              <w:bottom w:val="single" w:sz="4" w:space="0" w:color="auto"/>
              <w:right w:val="single" w:sz="4" w:space="0" w:color="auto"/>
            </w:tcBorders>
            <w:vAlign w:val="center"/>
          </w:tcPr>
          <w:p w:rsidR="00B32222" w:rsidRPr="00233C21" w:rsidRDefault="00B32222" w:rsidP="00AB53FC">
            <w:pPr>
              <w:tabs>
                <w:tab w:val="left" w:pos="142"/>
              </w:tabs>
              <w:overflowPunct w:val="0"/>
              <w:autoSpaceDE w:val="0"/>
              <w:autoSpaceDN w:val="0"/>
              <w:adjustRightInd w:val="0"/>
              <w:ind w:right="-284"/>
              <w:rPr>
                <w:rFonts w:ascii="Calibri" w:hAnsi="Calibri"/>
                <w:b/>
              </w:rPr>
            </w:pPr>
            <w:r w:rsidRPr="00233C21">
              <w:rPr>
                <w:rFonts w:ascii="Calibri" w:hAnsi="Calibri"/>
                <w:b/>
              </w:rPr>
              <w:t xml:space="preserve">Zamawiający nie dopuszcza jakichkolwiek zmian nanoszonych przez Wykonawcę na załączniku </w:t>
            </w:r>
          </w:p>
          <w:p w:rsidR="00B32222" w:rsidRPr="00233C21" w:rsidRDefault="00B32222" w:rsidP="00AB53FC">
            <w:pPr>
              <w:tabs>
                <w:tab w:val="left" w:pos="142"/>
              </w:tabs>
              <w:overflowPunct w:val="0"/>
              <w:autoSpaceDE w:val="0"/>
              <w:autoSpaceDN w:val="0"/>
              <w:adjustRightInd w:val="0"/>
              <w:ind w:right="-284"/>
              <w:jc w:val="center"/>
              <w:rPr>
                <w:rFonts w:ascii="Calibri" w:hAnsi="Calibri"/>
                <w:b/>
              </w:rPr>
            </w:pPr>
            <w:r w:rsidRPr="00233C21">
              <w:rPr>
                <w:rFonts w:ascii="Calibri" w:hAnsi="Calibri"/>
                <w:b/>
              </w:rPr>
              <w:t>Do umowy, jak również dodatkowych informacji, wyjaśnień i uregulowań.</w:t>
            </w:r>
          </w:p>
        </w:tc>
      </w:tr>
    </w:tbl>
    <w:p w:rsidR="00B32222" w:rsidRPr="00233C21" w:rsidRDefault="00B32222" w:rsidP="00B32222">
      <w:pPr>
        <w:tabs>
          <w:tab w:val="left" w:pos="142"/>
        </w:tabs>
        <w:overflowPunct w:val="0"/>
        <w:autoSpaceDE w:val="0"/>
        <w:autoSpaceDN w:val="0"/>
        <w:adjustRightInd w:val="0"/>
        <w:ind w:right="-284"/>
        <w:jc w:val="both"/>
        <w:rPr>
          <w:rFonts w:ascii="Calibri" w:hAnsi="Calibri"/>
          <w:b/>
        </w:rPr>
      </w:pPr>
    </w:p>
    <w:p w:rsidR="00B32222" w:rsidRPr="00233C21" w:rsidRDefault="00B32222" w:rsidP="00B32222">
      <w:pPr>
        <w:tabs>
          <w:tab w:val="left" w:pos="11766"/>
        </w:tabs>
        <w:jc w:val="both"/>
        <w:rPr>
          <w:rFonts w:ascii="Calibri" w:hAnsi="Calibri" w:cs="Arial"/>
          <w:sz w:val="20"/>
          <w:szCs w:val="20"/>
        </w:rPr>
      </w:pPr>
    </w:p>
    <w:p w:rsidR="00B32222" w:rsidRPr="00233C21" w:rsidRDefault="00B32222" w:rsidP="00B32222">
      <w:pPr>
        <w:ind w:left="4648"/>
        <w:rPr>
          <w:rFonts w:ascii="Calibri" w:hAnsi="Calibri"/>
          <w:i/>
          <w:iCs/>
          <w:sz w:val="22"/>
          <w:szCs w:val="22"/>
        </w:rPr>
      </w:pPr>
      <w:r w:rsidRPr="00233C21">
        <w:rPr>
          <w:rFonts w:ascii="Calibri" w:hAnsi="Calibri"/>
          <w:i/>
          <w:iCs/>
          <w:sz w:val="22"/>
          <w:szCs w:val="22"/>
        </w:rPr>
        <w:t xml:space="preserve"> ........................................................................</w:t>
      </w:r>
    </w:p>
    <w:p w:rsidR="00B32222" w:rsidRPr="00233C21" w:rsidRDefault="00B32222" w:rsidP="00B32222">
      <w:pPr>
        <w:ind w:left="4620"/>
        <w:rPr>
          <w:rFonts w:ascii="Calibri" w:hAnsi="Calibri"/>
          <w:sz w:val="22"/>
          <w:szCs w:val="22"/>
        </w:rPr>
      </w:pPr>
      <w:r w:rsidRPr="00233C21">
        <w:rPr>
          <w:rFonts w:ascii="Calibri" w:hAnsi="Calibri"/>
          <w:sz w:val="22"/>
          <w:szCs w:val="22"/>
        </w:rPr>
        <w:t>(</w:t>
      </w:r>
      <w:r w:rsidRPr="00233C21">
        <w:rPr>
          <w:rFonts w:ascii="Calibri" w:hAnsi="Calibri"/>
          <w:b/>
          <w:bCs/>
          <w:sz w:val="22"/>
          <w:szCs w:val="22"/>
        </w:rPr>
        <w:t xml:space="preserve">czytelny(e) podpis(y) </w:t>
      </w:r>
      <w:r w:rsidRPr="00233C21">
        <w:rPr>
          <w:rFonts w:ascii="Calibri" w:hAnsi="Calibri"/>
          <w:sz w:val="22"/>
          <w:szCs w:val="22"/>
        </w:rPr>
        <w:t>osoby(osób) uprawnionej(</w:t>
      </w:r>
      <w:proofErr w:type="spellStart"/>
      <w:r w:rsidRPr="00233C21">
        <w:rPr>
          <w:rFonts w:ascii="Calibri" w:hAnsi="Calibri"/>
          <w:sz w:val="22"/>
          <w:szCs w:val="22"/>
        </w:rPr>
        <w:t>ych</w:t>
      </w:r>
      <w:proofErr w:type="spellEnd"/>
      <w:r w:rsidRPr="00233C21">
        <w:rPr>
          <w:rFonts w:ascii="Calibri" w:hAnsi="Calibri"/>
          <w:sz w:val="22"/>
          <w:szCs w:val="22"/>
        </w:rPr>
        <w:t>) (łącznie) do reprezentowania wykonawcy)</w:t>
      </w:r>
    </w:p>
    <w:p w:rsidR="000B1EE1" w:rsidRDefault="00203AAC">
      <w:bookmarkStart w:id="0" w:name="_GoBack"/>
      <w:bookmarkEnd w:id="0"/>
    </w:p>
    <w:sectPr w:rsidR="000B1E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BF"/>
    <w:rsid w:val="00203AAC"/>
    <w:rsid w:val="0049469C"/>
    <w:rsid w:val="00516C76"/>
    <w:rsid w:val="00B32222"/>
    <w:rsid w:val="00C25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22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22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2493</Words>
  <Characters>14962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KAMILAKA</dc:creator>
  <cp:keywords/>
  <dc:description/>
  <cp:lastModifiedBy>KAMILAKA</cp:lastModifiedBy>
  <cp:revision>3</cp:revision>
  <cp:lastPrinted>2013-06-20T10:55:00Z</cp:lastPrinted>
  <dcterms:created xsi:type="dcterms:W3CDTF">2013-06-20T10:46:00Z</dcterms:created>
  <dcterms:modified xsi:type="dcterms:W3CDTF">2013-06-20T10:59:00Z</dcterms:modified>
</cp:coreProperties>
</file>