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22" w:rsidRPr="00B14922" w:rsidRDefault="00B14922" w:rsidP="00B14922">
      <w:pPr>
        <w:rPr>
          <w:b/>
        </w:rPr>
      </w:pPr>
      <w:r w:rsidRPr="00B14922">
        <w:rPr>
          <w:b/>
        </w:rPr>
        <w:t>D-04.08.04</w:t>
      </w:r>
      <w:r>
        <w:rPr>
          <w:b/>
        </w:rPr>
        <w:t xml:space="preserve"> </w:t>
      </w:r>
      <w:r w:rsidRPr="00B14922">
        <w:t>WYRÓWNANIE PODBUDOWY TŁUCZNIEM</w:t>
      </w:r>
    </w:p>
    <w:p w:rsidR="00B14922" w:rsidRDefault="00B14922" w:rsidP="00B14922">
      <w:pPr>
        <w:pStyle w:val="Nagwek1"/>
      </w:pPr>
    </w:p>
    <w:p w:rsidR="00B14922" w:rsidRDefault="00B14922" w:rsidP="00B14922">
      <w:pPr>
        <w:pStyle w:val="Nagwek1"/>
      </w:pPr>
      <w:r>
        <w:t>1. WSTĘP</w:t>
      </w:r>
    </w:p>
    <w:p w:rsidR="00B14922" w:rsidRDefault="00B14922" w:rsidP="00B14922">
      <w:pPr>
        <w:pStyle w:val="Nagwek2"/>
      </w:pPr>
      <w:r>
        <w:rPr>
          <w:lang w:val="en-US"/>
        </w:rPr>
        <w:t>1.1.</w:t>
      </w:r>
      <w:r>
        <w:t>Przedmiot S</w:t>
      </w:r>
      <w:r>
        <w:t>ST</w:t>
      </w:r>
    </w:p>
    <w:p w:rsidR="00B14922" w:rsidRDefault="00B14922" w:rsidP="00B14922">
      <w:pPr>
        <w:tabs>
          <w:tab w:val="left" w:pos="0"/>
        </w:tabs>
      </w:pPr>
      <w:r>
        <w:rPr>
          <w:b/>
        </w:rPr>
        <w:tab/>
      </w:r>
      <w:r>
        <w:t>Przedmiotem niniejszej ogó</w:t>
      </w:r>
      <w:r>
        <w:t>lnej specyfikacji technicznej (S</w:t>
      </w:r>
      <w:r>
        <w:t>ST) są wymagania dotyczące wykonania i odbioru robót związanych z wykonaniem wyrównania poprzecznego i podłużnego podbudowy tłuczniem</w:t>
      </w:r>
      <w:r w:rsidR="00AF0AAC">
        <w:t xml:space="preserve"> </w:t>
      </w:r>
      <w:r w:rsidR="00751409" w:rsidRPr="00751409">
        <w:t>przy: Realizacja inwestycji w ciągu drogi powiatowej nr 1554C Samsieczno-Gorzeń.</w:t>
      </w:r>
      <w:r>
        <w:t>.</w:t>
      </w:r>
    </w:p>
    <w:p w:rsidR="00B14922" w:rsidRDefault="00B14922" w:rsidP="00B14922">
      <w:pPr>
        <w:pStyle w:val="Nagwek2"/>
      </w:pPr>
      <w:r>
        <w:t>1.2. Zakres stosowania S</w:t>
      </w:r>
      <w:r>
        <w:t>ST</w:t>
      </w:r>
    </w:p>
    <w:p w:rsidR="00B14922" w:rsidRDefault="00B14922" w:rsidP="00B14922">
      <w:pPr>
        <w:tabs>
          <w:tab w:val="left" w:pos="0"/>
        </w:tabs>
      </w:pPr>
      <w:r>
        <w:tab/>
      </w:r>
      <w:r w:rsidR="00751409" w:rsidRPr="00751409">
        <w:t>Szczegółowa specyfikacja techniczna (SST) stosowana jest jako dokument przetargowy, przy zlecaniu i realizacji robót wymienionych w pkt. 1</w:t>
      </w:r>
      <w:r w:rsidR="00751409">
        <w:t xml:space="preserve">.1 </w:t>
      </w:r>
      <w:bookmarkStart w:id="0" w:name="_GoBack"/>
      <w:bookmarkEnd w:id="0"/>
      <w:r w:rsidR="00751409" w:rsidRPr="00751409">
        <w:t xml:space="preserve"> niniejszej SST.</w:t>
      </w:r>
      <w:r>
        <w:t>.</w:t>
      </w:r>
    </w:p>
    <w:p w:rsidR="00B14922" w:rsidRDefault="00B14922" w:rsidP="00B14922">
      <w:pPr>
        <w:pStyle w:val="Nagwek2"/>
      </w:pPr>
      <w:r>
        <w:t>1.3. Zakres robót objętych S</w:t>
      </w:r>
      <w:r>
        <w:t>ST</w:t>
      </w:r>
    </w:p>
    <w:p w:rsidR="00B14922" w:rsidRDefault="00B14922" w:rsidP="00B14922">
      <w:r>
        <w:rPr>
          <w:b/>
        </w:rPr>
        <w:tab/>
      </w:r>
      <w:r>
        <w:t>Ustalenia zawarte w niniejszej specyfikacji dotyczą zasad prowadzenia robót związanych z wykonaniem wyrównania podbudowy tłuczniem.</w:t>
      </w:r>
    </w:p>
    <w:p w:rsidR="00B14922" w:rsidRDefault="00B14922" w:rsidP="00B14922">
      <w:pPr>
        <w:pStyle w:val="Nagwek2"/>
      </w:pPr>
      <w:r>
        <w:t>1.4. Określenia podstawowe</w:t>
      </w:r>
    </w:p>
    <w:p w:rsidR="00B14922" w:rsidRDefault="00B14922" w:rsidP="00B14922">
      <w:r>
        <w:rPr>
          <w:b/>
        </w:rPr>
        <w:t xml:space="preserve">1.4.1. </w:t>
      </w:r>
      <w:r>
        <w:t>Warstwa wyrównawcza - warstwa o zmiennej grubości układana na istniejącej warstwie w celu wyrównania jej nierówności w profilu poprzecznym i podłużnym.</w:t>
      </w:r>
    </w:p>
    <w:p w:rsidR="00B14922" w:rsidRDefault="00B14922" w:rsidP="00B14922">
      <w:pPr>
        <w:spacing w:before="120"/>
      </w:pPr>
      <w:r>
        <w:rPr>
          <w:b/>
        </w:rPr>
        <w:t xml:space="preserve">1.4.2. </w:t>
      </w:r>
      <w:r>
        <w:t>Pozostałe określenia są zgodne z obowiązującymi, odpowiednimi polskimi norm</w:t>
      </w:r>
      <w:r>
        <w:t>ami i z definicjami podanymi w S</w:t>
      </w:r>
      <w:r>
        <w:t>ST D-M-00.00.00 „Wymagania ogólne” pkt 1.4 or</w:t>
      </w:r>
      <w:r>
        <w:t>az w SST D-04.04.02</w:t>
      </w:r>
      <w:r>
        <w:t xml:space="preserve"> „Podbudowa z </w:t>
      </w:r>
      <w:r>
        <w:t>mieszanki kruszyw niezwiązanych stabilizowanych mechanicznie</w:t>
      </w:r>
      <w:r>
        <w:t xml:space="preserve">”  pkt 1.4. </w:t>
      </w:r>
    </w:p>
    <w:p w:rsidR="00B14922" w:rsidRDefault="00B14922" w:rsidP="00B14922">
      <w:pPr>
        <w:pStyle w:val="Nagwek2"/>
      </w:pPr>
      <w:r>
        <w:t>1.5. Ogólne wymagania dotyczące robót</w:t>
      </w:r>
    </w:p>
    <w:p w:rsidR="00B14922" w:rsidRDefault="00B14922" w:rsidP="00B14922">
      <w:r>
        <w:tab/>
        <w:t>Ogólne wyma</w:t>
      </w:r>
      <w:r>
        <w:t>gania dotyczące robót podano w S</w:t>
      </w:r>
      <w:r>
        <w:t>ST D-M-00.00.00 „Wymagania ogólne” pkt 1.5.</w:t>
      </w:r>
    </w:p>
    <w:p w:rsidR="00B14922" w:rsidRDefault="00B14922" w:rsidP="00B14922">
      <w:pPr>
        <w:pStyle w:val="Nagwek1"/>
      </w:pPr>
      <w:r>
        <w:t>2. materiały</w:t>
      </w:r>
    </w:p>
    <w:p w:rsidR="00B14922" w:rsidRDefault="00B14922" w:rsidP="00B14922">
      <w:pPr>
        <w:pStyle w:val="Nagwek2"/>
      </w:pPr>
      <w:r>
        <w:t>2.1. Ogólne wymagania dotyczące materiałów</w:t>
      </w:r>
    </w:p>
    <w:p w:rsidR="00B14922" w:rsidRDefault="00B14922" w:rsidP="00B14922">
      <w:r>
        <w:tab/>
        <w:t>Ogólne wymagania dotyczące materiałów, ich pozys</w:t>
      </w:r>
      <w:r>
        <w:t>kiwania i składowania podano w S</w:t>
      </w:r>
      <w:r>
        <w:t>ST D-M-00.00.00 „Wymagania ogólne” pkt 2.</w:t>
      </w:r>
    </w:p>
    <w:p w:rsidR="00B14922" w:rsidRDefault="00B14922" w:rsidP="00B14922">
      <w:pPr>
        <w:pStyle w:val="Nagwek2"/>
      </w:pPr>
      <w:r>
        <w:t>2.2. Materiały do wykonania wyrównania podbudowy tłuczniem</w:t>
      </w:r>
    </w:p>
    <w:p w:rsidR="00B14922" w:rsidRDefault="00B14922" w:rsidP="00B14922">
      <w:r>
        <w:tab/>
        <w:t>Do wyrównania podbudowy tłuczniem należy stosować materiały spe</w:t>
      </w:r>
      <w:r>
        <w:t>łniające wymagania określone w SST D-04.04.02</w:t>
      </w:r>
      <w:r>
        <w:t xml:space="preserve"> „</w:t>
      </w:r>
      <w:r w:rsidRPr="00B14922">
        <w:t>Podbudowa z mieszanki kruszyw niezwiązanych stabilizowanych mechanicznie</w:t>
      </w:r>
      <w:r>
        <w:t>” pkt 2.</w:t>
      </w:r>
    </w:p>
    <w:p w:rsidR="00B14922" w:rsidRDefault="00B14922" w:rsidP="00B14922">
      <w:pPr>
        <w:rPr>
          <w:vertAlign w:val="subscript"/>
        </w:rPr>
      </w:pPr>
    </w:p>
    <w:p w:rsidR="00B14922" w:rsidRDefault="00B14922" w:rsidP="00B14922">
      <w:pPr>
        <w:pStyle w:val="Nagwek1"/>
        <w:spacing w:before="120"/>
      </w:pPr>
      <w:r>
        <w:t>3. sprzęt</w:t>
      </w:r>
    </w:p>
    <w:p w:rsidR="00B14922" w:rsidRDefault="00B14922" w:rsidP="00B14922">
      <w:pPr>
        <w:pStyle w:val="Nagwek2"/>
      </w:pPr>
      <w:r>
        <w:t>3.1. Ogólne wymagania dotyczące sprzętu</w:t>
      </w:r>
    </w:p>
    <w:p w:rsidR="00B14922" w:rsidRDefault="00B14922" w:rsidP="00B14922">
      <w:r>
        <w:tab/>
        <w:t>Ogólne wymaga</w:t>
      </w:r>
      <w:r>
        <w:t>nia dotyczące sprzętu podano w S</w:t>
      </w:r>
      <w:r>
        <w:t>ST D-M-00.00.00 „Wymagania ogólne” pkt 3.</w:t>
      </w:r>
    </w:p>
    <w:p w:rsidR="00B14922" w:rsidRDefault="00B14922" w:rsidP="00B14922">
      <w:pPr>
        <w:pStyle w:val="Nagwek2"/>
      </w:pPr>
      <w:r>
        <w:t>3.2. Sprzęt do wykonania robót</w:t>
      </w:r>
    </w:p>
    <w:p w:rsidR="00B14922" w:rsidRDefault="00B14922" w:rsidP="00B14922">
      <w:r>
        <w:tab/>
        <w:t>Do wykonania wyrównania podbudowy tłuczniem Wykonawca powinien dysponować sprzętem określonym w OST</w:t>
      </w:r>
      <w:r>
        <w:t xml:space="preserve"> D-04.04.02</w:t>
      </w:r>
      <w:r>
        <w:t xml:space="preserve"> „</w:t>
      </w:r>
      <w:r w:rsidRPr="00B14922">
        <w:t>Podbudowa z mieszanki kruszyw niezwiązanych stabilizowanych mechanicznie</w:t>
      </w:r>
      <w:r>
        <w:t>” pkt 3.</w:t>
      </w:r>
    </w:p>
    <w:p w:rsidR="00B14922" w:rsidRDefault="00B14922" w:rsidP="00B14922">
      <w:pPr>
        <w:pStyle w:val="Nagwek1"/>
      </w:pPr>
      <w:r>
        <w:t>4. transport</w:t>
      </w:r>
    </w:p>
    <w:p w:rsidR="00B14922" w:rsidRDefault="00B14922" w:rsidP="00B14922">
      <w:pPr>
        <w:pStyle w:val="Nagwek2"/>
      </w:pPr>
      <w:r>
        <w:t>4.1. Ogólne wymagania dotyczące transportu</w:t>
      </w:r>
    </w:p>
    <w:p w:rsidR="00B14922" w:rsidRDefault="00B14922" w:rsidP="00B14922">
      <w:r>
        <w:tab/>
        <w:t>Ogólne wymagania</w:t>
      </w:r>
      <w:r>
        <w:t xml:space="preserve"> dotyczące transportu podano w S</w:t>
      </w:r>
      <w:r>
        <w:t>ST D-M-00.00.00 „Wymagania ogólne” pkt 4.</w:t>
      </w:r>
    </w:p>
    <w:p w:rsidR="00B14922" w:rsidRDefault="00B14922" w:rsidP="00B14922">
      <w:pPr>
        <w:pStyle w:val="Nagwek2"/>
      </w:pPr>
      <w:r>
        <w:t>4.2. Transport materiałów</w:t>
      </w:r>
    </w:p>
    <w:p w:rsidR="00B14922" w:rsidRDefault="00B14922" w:rsidP="00B14922">
      <w:r>
        <w:tab/>
        <w:t>Transport tłucznia i klińca do wykonania wyrównania tłuczniem powinien spełniać wyma</w:t>
      </w:r>
      <w:r>
        <w:t>gania określone w OST D-04.04.02</w:t>
      </w:r>
      <w:r>
        <w:t xml:space="preserve"> „</w:t>
      </w:r>
      <w:r w:rsidRPr="00B14922">
        <w:t>Podbudowa z mieszanki kruszyw niezwiązanych stabilizowanych mechanicznie</w:t>
      </w:r>
      <w:r>
        <w:t>” pkt 4.</w:t>
      </w:r>
    </w:p>
    <w:p w:rsidR="00B14922" w:rsidRDefault="00B14922" w:rsidP="00B14922">
      <w:pPr>
        <w:pStyle w:val="Nagwek1"/>
      </w:pPr>
      <w:r>
        <w:lastRenderedPageBreak/>
        <w:t>5. wykonanie robót</w:t>
      </w:r>
    </w:p>
    <w:p w:rsidR="00B14922" w:rsidRDefault="00B14922" w:rsidP="00B14922">
      <w:pPr>
        <w:pStyle w:val="Nagwek2"/>
      </w:pPr>
      <w:r>
        <w:t>5.1. Ogólne zasady wykonania robót</w:t>
      </w:r>
    </w:p>
    <w:p w:rsidR="00B14922" w:rsidRDefault="00B14922" w:rsidP="00B14922">
      <w:r>
        <w:tab/>
        <w:t>Ogólne z</w:t>
      </w:r>
      <w:r>
        <w:t>asady wykonania robót podano w S</w:t>
      </w:r>
      <w:r>
        <w:t>ST D-M-00.00.00 „Wymagania ogólne” pkt 5.</w:t>
      </w:r>
    </w:p>
    <w:p w:rsidR="00B14922" w:rsidRDefault="00B14922" w:rsidP="00B14922">
      <w:pPr>
        <w:pStyle w:val="Nagwek2"/>
      </w:pPr>
      <w:r>
        <w:t>5.2. Prz</w:t>
      </w:r>
      <w:r>
        <w:t>ygotowanie powierzchni</w:t>
      </w:r>
      <w:r>
        <w:t xml:space="preserve"> do wyrównania tłuczniem</w:t>
      </w:r>
    </w:p>
    <w:p w:rsidR="00B14922" w:rsidRDefault="00B14922" w:rsidP="00B14922">
      <w:r>
        <w:tab/>
        <w:t>Przed przystąpieniem do wykonania wy</w:t>
      </w:r>
      <w:r>
        <w:t>równania, powierzchnia jezdni lub podbudowy</w:t>
      </w:r>
      <w:r>
        <w:t xml:space="preserve"> powinna zostać oczyszczona z wszel</w:t>
      </w:r>
      <w:r>
        <w:t>kich zanieczyszczeń, zgodnie z S</w:t>
      </w:r>
      <w:r>
        <w:t>ST D-04.03.01 „Oczyszczenie i skropienie warstw konstrukcyjnych” pkt 5.</w:t>
      </w:r>
    </w:p>
    <w:p w:rsidR="00B14922" w:rsidRDefault="00B14922" w:rsidP="00B14922">
      <w:r>
        <w:tab/>
        <w:t xml:space="preserve">Powierzchnia podbudowy tłuczniowej lub podbudowy z kruszyw przewidziana do wyrównania, powinna zostać przed układaniem warstwy wyrównawczej </w:t>
      </w:r>
      <w:proofErr w:type="spellStart"/>
      <w:r>
        <w:t>zoskardowana</w:t>
      </w:r>
      <w:proofErr w:type="spellEnd"/>
      <w:r>
        <w:t xml:space="preserve"> na głębokość 7 cm. W miejscach gdzie grubość warstwy wyrównawczej jest mniejsza od grubości minimalnej warstwy wyrównawczej, istniejącą podbudowę należy wzruszyć na taką głębokość, aby wraz z przewidywaną warstwą wyrównawczą zapewniła po zagęszczeniu jej stabilność.</w:t>
      </w:r>
    </w:p>
    <w:p w:rsidR="00B14922" w:rsidRDefault="00B14922" w:rsidP="00B14922">
      <w:r>
        <w:tab/>
        <w:t>Prace pomiarowe powinny  być wykonane w sposób umożliwiający wykonanie wyrównania podbudowy zgodnie z dokumentacją projektową.</w:t>
      </w:r>
    </w:p>
    <w:p w:rsidR="00B14922" w:rsidRDefault="00B14922" w:rsidP="00B14922">
      <w:r>
        <w:tab/>
        <w:t>Paliki lub szpilki do kontroli ukształtowania wyrównania podbudowy powinny być wcześniej przygotowane, odpowiednio zamocowane i utrzymywane w czasie robót przez Wykonawcę.</w:t>
      </w:r>
    </w:p>
    <w:p w:rsidR="00B14922" w:rsidRDefault="00B14922" w:rsidP="00B14922">
      <w:r>
        <w:tab/>
        <w:t>Paliki lub szpilki powinny być ustawione w osi drogi i w rzędach równoległych do osi drogi lub w inny sposób zaakceptowany przez Inżyniera.</w:t>
      </w:r>
      <w:r>
        <w:tab/>
        <w:t xml:space="preserve">Rozmieszczenie palików lub szpilek powinno umożliwiać naciągnięcie linki do wytyczenia robót w odstępach nie większych niż co 10 m. </w:t>
      </w:r>
    </w:p>
    <w:p w:rsidR="00B14922" w:rsidRDefault="00B14922" w:rsidP="00B14922">
      <w:pPr>
        <w:ind w:firstLine="709"/>
      </w:pPr>
      <w:r>
        <w:t>Po wytyczeniu wyrównania podbudowy należy ustawić wzdłuż istniejącej podbudowy prowadnice w taki sposób, aby wyznaczały one ściśle warstwę wyrównawczą podbudowy w stanie niezagęszczonym. Prowadnice winny być ustawione stabilnie, w sposób wykluczający ich przesuwanie się w czasie układania i zagęszczania kruszywa.</w:t>
      </w:r>
    </w:p>
    <w:p w:rsidR="00B14922" w:rsidRDefault="00B14922" w:rsidP="00B14922">
      <w:pPr>
        <w:pStyle w:val="Nagwek2"/>
      </w:pPr>
      <w:r>
        <w:t>5.3. Wbudowanie i zagęszczenie kruszywa</w:t>
      </w:r>
    </w:p>
    <w:p w:rsidR="00B14922" w:rsidRDefault="00B14922" w:rsidP="00B14922">
      <w:r>
        <w:tab/>
        <w:t xml:space="preserve">Minimalna grubość układanej warstwy wyrównawczej z tłucznia nie może być po zagęszczeniu mniejsza od największego wymiaru ziarna w kruszywie. Warstwę wyrównawczą z tłucznia układa </w:t>
      </w:r>
      <w:r w:rsidR="000E2862">
        <w:t>się według zasad określonych w SST D-04.04.02</w:t>
      </w:r>
      <w:r>
        <w:t xml:space="preserve"> „</w:t>
      </w:r>
      <w:r w:rsidR="000E2862" w:rsidRPr="000E2862">
        <w:t>Podbudowa z mieszanki kruszyw niezwiązanych stabilizowanych mechanicznie</w:t>
      </w:r>
      <w:r>
        <w:t>” pkt 5.</w:t>
      </w:r>
    </w:p>
    <w:p w:rsidR="00B14922" w:rsidRDefault="00B14922" w:rsidP="00B14922">
      <w:pPr>
        <w:pStyle w:val="Nagwek2"/>
      </w:pPr>
      <w:r>
        <w:t>5.4. Odcinek próbny</w:t>
      </w:r>
    </w:p>
    <w:p w:rsidR="00B14922" w:rsidRDefault="00B14922" w:rsidP="00B14922">
      <w:r>
        <w:tab/>
        <w:t>O ile przewidziano to w SST, Wykonawca powinien wykonać odcinek próbny, zg</w:t>
      </w:r>
      <w:r w:rsidR="000E2862">
        <w:t>odnie z określonymi zasadami w SST D-04.04.02</w:t>
      </w:r>
      <w:r>
        <w:t xml:space="preserve"> „</w:t>
      </w:r>
      <w:r w:rsidR="000E2862" w:rsidRPr="000E2862">
        <w:t>Podbudowa z mieszanki kruszyw niezwiązanych stabilizowanych mechanicznie</w:t>
      </w:r>
      <w:r>
        <w:t>” pkt 5.</w:t>
      </w:r>
    </w:p>
    <w:p w:rsidR="00B14922" w:rsidRDefault="00B14922" w:rsidP="00B14922">
      <w:pPr>
        <w:pStyle w:val="Nagwek1"/>
      </w:pPr>
      <w:r>
        <w:t>6. kontrola jakości robót</w:t>
      </w:r>
    </w:p>
    <w:p w:rsidR="00B14922" w:rsidRDefault="00B14922" w:rsidP="00B14922">
      <w:pPr>
        <w:pStyle w:val="Nagwek2"/>
      </w:pPr>
      <w:r>
        <w:t>6.1. Ogólne zasady kontroli jakości robót</w:t>
      </w:r>
    </w:p>
    <w:p w:rsidR="00B14922" w:rsidRDefault="00B14922" w:rsidP="00B14922">
      <w:r>
        <w:tab/>
        <w:t>Ogólne zasady k</w:t>
      </w:r>
      <w:r w:rsidR="000E2862">
        <w:t>ontroli jakości robót podano w S</w:t>
      </w:r>
      <w:r>
        <w:t>ST D-M-00.00.00 „Wymagania ogólne” pkt 6.</w:t>
      </w:r>
    </w:p>
    <w:p w:rsidR="00B14922" w:rsidRDefault="00B14922" w:rsidP="00B14922">
      <w:pPr>
        <w:pStyle w:val="Nagwek2"/>
      </w:pPr>
      <w:r>
        <w:t>6.2. Badania przed przystąpieniem do robót</w:t>
      </w:r>
    </w:p>
    <w:p w:rsidR="00B14922" w:rsidRDefault="00B14922" w:rsidP="00B14922">
      <w:r>
        <w:tab/>
        <w:t>Przed przystąpieniem do robót Wykonawca powinien wykonać badania zgo</w:t>
      </w:r>
      <w:r w:rsidR="000E2862">
        <w:t>dnie z ustaleniami zawartymi w S</w:t>
      </w:r>
      <w:r>
        <w:t>ST D-04.04.04 „Podbudowa z tłucznia kamiennego”  pkt 6.</w:t>
      </w:r>
    </w:p>
    <w:p w:rsidR="00B14922" w:rsidRDefault="00B14922" w:rsidP="00B14922">
      <w:pPr>
        <w:pStyle w:val="Nagwek2"/>
      </w:pPr>
      <w:r>
        <w:t>6.3. Badania w czasie robót</w:t>
      </w:r>
    </w:p>
    <w:p w:rsidR="00B14922" w:rsidRDefault="00B14922" w:rsidP="00B14922">
      <w:r>
        <w:tab/>
        <w:t>Częstotliwość oraz zakres badań i pomiarów w czasie wykonywania wyrównania podbudowy poda</w:t>
      </w:r>
      <w:r w:rsidR="000E2862">
        <w:t>no w SST D-04.04.02</w:t>
      </w:r>
      <w:r>
        <w:t xml:space="preserve"> „</w:t>
      </w:r>
      <w:r w:rsidR="000E2862" w:rsidRPr="000E2862">
        <w:t>Podbudowa z mieszanki kruszyw niezwiązanych stabilizowanych mechanicznie</w:t>
      </w:r>
      <w:r>
        <w:t>”   pkt 6.</w:t>
      </w:r>
    </w:p>
    <w:p w:rsidR="00B14922" w:rsidRDefault="00B14922" w:rsidP="00B14922">
      <w:pPr>
        <w:pStyle w:val="Nagwek2"/>
      </w:pPr>
      <w:r>
        <w:t>6.4.Wymagania dotyczące cech geometrycznych wykonanego wyrównania podbudowy</w:t>
      </w:r>
    </w:p>
    <w:p w:rsidR="00B14922" w:rsidRDefault="00B14922" w:rsidP="00B14922">
      <w:r>
        <w:tab/>
        <w:t xml:space="preserve">Częstotliwość oraz zakres pomiarów dotyczących cech geometrycznych wykonanego wyrównania powinny być zgodne z określonymi </w:t>
      </w:r>
      <w:r w:rsidR="000E2862">
        <w:t xml:space="preserve">dla podbudowy w SST </w:t>
      </w:r>
      <w:r>
        <w:t>D-04.04.04 „</w:t>
      </w:r>
      <w:r w:rsidR="000E2862" w:rsidRPr="000E2862">
        <w:t>Podbudowa z mieszanki kruszyw niezwiązanych stabilizowanych mechanicznie</w:t>
      </w:r>
      <w:r>
        <w:t>”  pkt 6.</w:t>
      </w:r>
    </w:p>
    <w:p w:rsidR="00B14922" w:rsidRDefault="00B14922" w:rsidP="00B14922"/>
    <w:p w:rsidR="00B14922" w:rsidRDefault="00B14922" w:rsidP="00B14922">
      <w:pPr>
        <w:pStyle w:val="Nagwek1"/>
        <w:spacing w:after="0"/>
      </w:pPr>
      <w:r>
        <w:t>7. obmiar robót</w:t>
      </w:r>
    </w:p>
    <w:p w:rsidR="00B14922" w:rsidRDefault="00B14922" w:rsidP="00B14922">
      <w:pPr>
        <w:pStyle w:val="Nagwek2"/>
      </w:pPr>
      <w:r>
        <w:t>7.1. Ogólne zasady obmiaru robót</w:t>
      </w:r>
    </w:p>
    <w:p w:rsidR="00B14922" w:rsidRDefault="00B14922" w:rsidP="00B14922">
      <w:r>
        <w:tab/>
        <w:t>Ogólne</w:t>
      </w:r>
      <w:r w:rsidR="000E2862">
        <w:t xml:space="preserve"> zasady obmiaru robót podano w S</w:t>
      </w:r>
      <w:r>
        <w:t>ST D-M-00.00.00 „Wymagania ogólne” pkt 7.</w:t>
      </w:r>
    </w:p>
    <w:p w:rsidR="00B14922" w:rsidRDefault="00B14922" w:rsidP="00B14922">
      <w:pPr>
        <w:pStyle w:val="Nagwek2"/>
      </w:pPr>
      <w:r>
        <w:lastRenderedPageBreak/>
        <w:t>7.2. Jednostka obmiarowa</w:t>
      </w:r>
    </w:p>
    <w:p w:rsidR="00B14922" w:rsidRDefault="00B14922" w:rsidP="00B14922">
      <w:r>
        <w:tab/>
        <w:t>Jednostką obmiarową jest m</w:t>
      </w:r>
      <w:r>
        <w:rPr>
          <w:vertAlign w:val="superscript"/>
        </w:rPr>
        <w:t>3</w:t>
      </w:r>
      <w:r>
        <w:t xml:space="preserve"> (metr sześcienny) wbudowanego kruszywa.</w:t>
      </w:r>
    </w:p>
    <w:p w:rsidR="00B14922" w:rsidRDefault="00B14922" w:rsidP="00B14922">
      <w:pPr>
        <w:pStyle w:val="Nagwek1"/>
        <w:spacing w:after="0"/>
      </w:pPr>
      <w:r>
        <w:t>8. odbiór robót</w:t>
      </w:r>
    </w:p>
    <w:p w:rsidR="00B14922" w:rsidRDefault="00B14922" w:rsidP="00B14922">
      <w:pPr>
        <w:pStyle w:val="Nagwek2"/>
      </w:pPr>
      <w:r>
        <w:t>8.1. Ogólne zasady odbioru robót</w:t>
      </w:r>
    </w:p>
    <w:p w:rsidR="00B14922" w:rsidRDefault="00B14922" w:rsidP="00B14922">
      <w:r>
        <w:tab/>
        <w:t>Ogólne</w:t>
      </w:r>
      <w:r w:rsidR="000E2862">
        <w:t xml:space="preserve"> zasady odbioru robót podano w S</w:t>
      </w:r>
      <w:r>
        <w:t>ST D-M-00.00.00 „Wymagania ogólne” pkt 8.</w:t>
      </w:r>
    </w:p>
    <w:p w:rsidR="00B14922" w:rsidRDefault="00B14922" w:rsidP="00B14922">
      <w:r>
        <w:tab/>
        <w:t>Roboty uznaje się za wykonane zgodnie z dokumentacją projektową, SST i wymaganiami Inżyniera, jeżeli wszystkie pomiary i badania z zachowaniem tolerancji według pkt 6 dały wyniki pozytywne.</w:t>
      </w:r>
    </w:p>
    <w:p w:rsidR="00B14922" w:rsidRDefault="00B14922" w:rsidP="00B14922">
      <w:pPr>
        <w:pStyle w:val="Nagwek2"/>
      </w:pPr>
      <w:r>
        <w:t>8.2. Odbiór robót zanikających i ulegających zakryciu</w:t>
      </w:r>
    </w:p>
    <w:p w:rsidR="00B14922" w:rsidRDefault="00B14922" w:rsidP="00B14922">
      <w:r>
        <w:tab/>
        <w:t>Roboty związane z wykonaniem wyrównania podbudowy należą do robót ulegających zakryciu. Zas</w:t>
      </w:r>
      <w:r w:rsidR="000E2862">
        <w:t>ady ich odbioru są określone w S</w:t>
      </w:r>
      <w:r>
        <w:t>ST D-M-00.00.00 „Wymagania ogólne” pkt 8.2.</w:t>
      </w:r>
    </w:p>
    <w:p w:rsidR="00B14922" w:rsidRDefault="00B14922" w:rsidP="00B14922">
      <w:pPr>
        <w:pStyle w:val="Nagwek1"/>
      </w:pPr>
      <w:r>
        <w:t>9. podstawa płatności</w:t>
      </w:r>
    </w:p>
    <w:p w:rsidR="00B14922" w:rsidRDefault="00B14922" w:rsidP="00B14922">
      <w:pPr>
        <w:pStyle w:val="Nagwek2"/>
        <w:spacing w:before="0"/>
      </w:pPr>
      <w:r>
        <w:t>9.1. Ogólne ustalenia dotyczące podstawy płatności</w:t>
      </w:r>
    </w:p>
    <w:p w:rsidR="00B14922" w:rsidRDefault="00B14922" w:rsidP="00B14922">
      <w:r>
        <w:tab/>
        <w:t>Ogólne ustalenia dotyczą</w:t>
      </w:r>
      <w:r w:rsidR="000E2862">
        <w:t>ce podstawy płatności podano w S</w:t>
      </w:r>
      <w:r>
        <w:t>ST D-M-00.00.00 „Wymagania ogólne” pkt 9.</w:t>
      </w:r>
    </w:p>
    <w:p w:rsidR="00B14922" w:rsidRDefault="00B14922" w:rsidP="00B14922">
      <w:pPr>
        <w:pStyle w:val="Nagwek2"/>
      </w:pPr>
      <w:r>
        <w:t>9.2. Cena jednostki obmiarowej</w:t>
      </w:r>
    </w:p>
    <w:p w:rsidR="00B14922" w:rsidRDefault="00B14922" w:rsidP="00B14922">
      <w:r>
        <w:tab/>
        <w:t>Cena wykonania 1m</w:t>
      </w:r>
      <w:r>
        <w:rPr>
          <w:vertAlign w:val="superscript"/>
        </w:rPr>
        <w:t>3</w:t>
      </w:r>
      <w:r>
        <w:t xml:space="preserve"> wyrównania podbudowy tłuczniem obejmuje:</w:t>
      </w:r>
    </w:p>
    <w:p w:rsidR="00B14922" w:rsidRDefault="00B14922" w:rsidP="00B14922">
      <w:pPr>
        <w:numPr>
          <w:ilvl w:val="0"/>
          <w:numId w:val="1"/>
        </w:numPr>
      </w:pPr>
      <w:r>
        <w:t>transport materiału na plac budowy,</w:t>
      </w:r>
    </w:p>
    <w:p w:rsidR="00B14922" w:rsidRDefault="00B14922" w:rsidP="00B14922">
      <w:pPr>
        <w:numPr>
          <w:ilvl w:val="0"/>
          <w:numId w:val="1"/>
        </w:numPr>
      </w:pPr>
      <w:r>
        <w:t>prace pomiarowe i roboty przygotowawcze,</w:t>
      </w:r>
    </w:p>
    <w:p w:rsidR="00B14922" w:rsidRDefault="00B14922" w:rsidP="00B14922">
      <w:pPr>
        <w:numPr>
          <w:ilvl w:val="0"/>
          <w:numId w:val="1"/>
        </w:numPr>
        <w:ind w:left="284" w:hanging="284"/>
      </w:pPr>
      <w:r>
        <w:t>oznakowanie robót,</w:t>
      </w:r>
    </w:p>
    <w:p w:rsidR="00B14922" w:rsidRDefault="00B14922" w:rsidP="00B14922">
      <w:pPr>
        <w:numPr>
          <w:ilvl w:val="0"/>
          <w:numId w:val="1"/>
        </w:numPr>
        <w:ind w:left="284" w:hanging="284"/>
      </w:pPr>
      <w:r>
        <w:t>dostarczenie materiałów na miejsce wbudowania,</w:t>
      </w:r>
    </w:p>
    <w:p w:rsidR="00B14922" w:rsidRDefault="00B14922" w:rsidP="00B14922">
      <w:pPr>
        <w:numPr>
          <w:ilvl w:val="0"/>
          <w:numId w:val="1"/>
        </w:numPr>
        <w:ind w:left="284" w:hanging="284"/>
      </w:pPr>
      <w:r>
        <w:t>rozłożenie tłucznia,</w:t>
      </w:r>
    </w:p>
    <w:p w:rsidR="00B14922" w:rsidRDefault="00B14922" w:rsidP="00B14922">
      <w:pPr>
        <w:numPr>
          <w:ilvl w:val="0"/>
          <w:numId w:val="1"/>
        </w:numPr>
        <w:ind w:left="284" w:hanging="284"/>
      </w:pPr>
      <w:r>
        <w:t>rozłożenie kruszywa klinującego,</w:t>
      </w:r>
    </w:p>
    <w:p w:rsidR="00B14922" w:rsidRDefault="00B14922" w:rsidP="00B14922">
      <w:pPr>
        <w:numPr>
          <w:ilvl w:val="0"/>
          <w:numId w:val="1"/>
        </w:numPr>
        <w:ind w:left="284" w:hanging="284"/>
      </w:pPr>
      <w:r>
        <w:t>zagęszczenie rozścielonego i wyrównanego kruszywa,</w:t>
      </w:r>
    </w:p>
    <w:p w:rsidR="00B14922" w:rsidRDefault="00B14922" w:rsidP="00B14922">
      <w:pPr>
        <w:numPr>
          <w:ilvl w:val="0"/>
          <w:numId w:val="1"/>
        </w:numPr>
        <w:ind w:left="284" w:hanging="284"/>
      </w:pPr>
      <w:r>
        <w:t>przeprowadzenie pomiarów i badań laboratoryjnych, wymaganych w specyfikacji technicznej.</w:t>
      </w:r>
    </w:p>
    <w:p w:rsidR="00B14922" w:rsidRDefault="00B14922" w:rsidP="00B14922">
      <w:pPr>
        <w:pStyle w:val="Nagwek1"/>
      </w:pPr>
      <w:r>
        <w:t>10. przepisy związane</w:t>
      </w:r>
    </w:p>
    <w:p w:rsidR="00B14922" w:rsidRDefault="00B14922" w:rsidP="00B14922">
      <w:r>
        <w:tab/>
        <w:t>Normy i przepisy związane z wykonaniem wy</w:t>
      </w:r>
      <w:r w:rsidR="000E2862">
        <w:t>równania tłuczniem są podane w SST D-04.04.02</w:t>
      </w:r>
      <w:r>
        <w:t xml:space="preserve"> „</w:t>
      </w:r>
      <w:r w:rsidR="000E2862" w:rsidRPr="000E2862">
        <w:t>Podbudowa z mieszanki kruszyw niezwiązanych stabilizowanych mechanicznie</w:t>
      </w:r>
      <w:r>
        <w:t>”   pkt 10.</w:t>
      </w:r>
    </w:p>
    <w:p w:rsidR="00C5408C" w:rsidRDefault="00C5408C"/>
    <w:sectPr w:rsidR="00C54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16D8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22"/>
    <w:rsid w:val="000E2862"/>
    <w:rsid w:val="00751409"/>
    <w:rsid w:val="00AF0AAC"/>
    <w:rsid w:val="00B14922"/>
    <w:rsid w:val="00C5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B1492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22"/>
    <w:pPr>
      <w:keepNext/>
      <w:keepLines/>
      <w:suppressAutoHyphens/>
      <w:spacing w:before="24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B14922"/>
    <w:pPr>
      <w:keepNext/>
      <w:spacing w:before="120" w:after="120"/>
      <w:outlineLvl w:val="1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22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4922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B1492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14922"/>
    <w:pPr>
      <w:keepNext/>
      <w:keepLines/>
      <w:suppressAutoHyphens/>
      <w:spacing w:before="24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B14922"/>
    <w:pPr>
      <w:keepNext/>
      <w:spacing w:before="120" w:after="120"/>
      <w:outlineLvl w:val="1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4922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14922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2015-03-20T12:49:00Z</dcterms:created>
  <dcterms:modified xsi:type="dcterms:W3CDTF">2015-03-20T13:10:00Z</dcterms:modified>
</cp:coreProperties>
</file>