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78" w:rsidRDefault="008F1578" w:rsidP="00224F0D">
      <w:pPr>
        <w:ind w:left="0" w:firstLine="0"/>
        <w:jc w:val="right"/>
        <w:rPr>
          <w:rFonts w:ascii="Arial Narrow" w:eastAsia="Times New Roman" w:hAnsi="Arial Narrow"/>
          <w:b/>
          <w:color w:val="333333"/>
          <w:spacing w:val="30"/>
          <w:sz w:val="20"/>
          <w:szCs w:val="20"/>
          <w:lang w:eastAsia="pl-PL"/>
        </w:rPr>
      </w:pPr>
    </w:p>
    <w:p w:rsidR="00224F0D" w:rsidRDefault="00FF5E30" w:rsidP="00AD0E81">
      <w:pPr>
        <w:ind w:left="0" w:firstLine="0"/>
        <w:jc w:val="center"/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333333"/>
          <w:spacing w:val="30"/>
          <w:sz w:val="20"/>
          <w:szCs w:val="20"/>
          <w:lang w:eastAsia="pl-PL"/>
        </w:rPr>
        <w:t>UCHWAŁA NR</w:t>
      </w:r>
      <w:r w:rsidR="00450529">
        <w:rPr>
          <w:rFonts w:ascii="Arial Narrow" w:eastAsia="Times New Roman" w:hAnsi="Arial Narrow"/>
          <w:b/>
          <w:color w:val="333333"/>
          <w:spacing w:val="30"/>
          <w:sz w:val="20"/>
          <w:szCs w:val="20"/>
          <w:lang w:eastAsia="pl-PL"/>
        </w:rPr>
        <w:t>XVIII</w:t>
      </w:r>
      <w:r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/</w:t>
      </w:r>
      <w:r w:rsidR="00450529"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232</w:t>
      </w:r>
      <w:r w:rsidR="00DF3728" w:rsidRPr="00FF5E30"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/</w:t>
      </w:r>
      <w:r w:rsidR="008F1578"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20</w:t>
      </w:r>
      <w:r w:rsidR="00C1560F" w:rsidRPr="00FF5E30"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12</w:t>
      </w:r>
      <w:r w:rsidR="00DF3728" w:rsidRPr="00FF5E30">
        <w:rPr>
          <w:rFonts w:ascii="Arial Narrow" w:eastAsia="Times New Roman" w:hAnsi="Arial Narrow"/>
          <w:b/>
          <w:color w:val="333333"/>
          <w:spacing w:val="30"/>
          <w:sz w:val="20"/>
          <w:szCs w:val="20"/>
          <w:lang w:eastAsia="pl-PL"/>
        </w:rPr>
        <w:br/>
      </w:r>
      <w:r w:rsidR="00DF3728" w:rsidRPr="00FF5E30">
        <w:rPr>
          <w:rFonts w:ascii="Arial Narrow" w:eastAsia="Times New Roman" w:hAnsi="Arial Narrow"/>
          <w:b/>
          <w:bCs/>
          <w:color w:val="333333"/>
          <w:spacing w:val="30"/>
          <w:sz w:val="20"/>
          <w:szCs w:val="20"/>
          <w:lang w:eastAsia="pl-PL"/>
        </w:rPr>
        <w:t>RADY POWIATU W NAKLE NAD NOTECIĄ</w:t>
      </w:r>
    </w:p>
    <w:p w:rsidR="00BD375D" w:rsidRPr="00FF5E30" w:rsidRDefault="00DF3728" w:rsidP="00AD0E81">
      <w:pPr>
        <w:ind w:left="0" w:firstLine="0"/>
        <w:jc w:val="center"/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  <w:br/>
      </w:r>
      <w:proofErr w:type="gramStart"/>
      <w:r w:rsidR="00FF5E30"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  <w:t>z</w:t>
      </w:r>
      <w:proofErr w:type="gramEnd"/>
      <w:r w:rsidR="00FF5E30"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  <w:t xml:space="preserve"> dnia </w:t>
      </w:r>
      <w:r w:rsidR="00224F0D"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  <w:t>25 kwietnia 2012</w:t>
      </w:r>
      <w:r w:rsidR="00FF5E30">
        <w:rPr>
          <w:rFonts w:ascii="Arial Narrow" w:eastAsia="Times New Roman" w:hAnsi="Arial Narrow"/>
          <w:color w:val="333333"/>
          <w:spacing w:val="30"/>
          <w:sz w:val="20"/>
          <w:szCs w:val="20"/>
          <w:lang w:eastAsia="pl-PL"/>
        </w:rPr>
        <w:t>r.</w:t>
      </w:r>
    </w:p>
    <w:p w:rsidR="00DA765D" w:rsidRPr="00FF5E30" w:rsidRDefault="00BD375D" w:rsidP="006133E1">
      <w:pPr>
        <w:spacing w:after="240"/>
        <w:ind w:left="0" w:firstLine="0"/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proofErr w:type="gramStart"/>
      <w:r w:rsidR="00DA76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w</w:t>
      </w:r>
      <w:proofErr w:type="gramEnd"/>
      <w:r w:rsidR="00DA76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sprawie</w:t>
      </w: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B76FC9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zasad </w:t>
      </w:r>
      <w:r w:rsidR="00B806CF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nabywania, zbywania i obciążania nieruchomości</w:t>
      </w:r>
      <w:r w:rsidR="00DA76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6133E1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br/>
      </w:r>
      <w:r w:rsidR="00DA76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oraz </w:t>
      </w:r>
      <w:r w:rsidR="00DF3728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ich </w:t>
      </w:r>
      <w:r w:rsidR="00224F0D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oddawania w najem, dzierżawę i użyczenie </w:t>
      </w:r>
      <w:r w:rsidR="0003160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</w:p>
    <w:p w:rsidR="009B4AB5" w:rsidRPr="00FF5E30" w:rsidRDefault="00031603" w:rsidP="00224F0D">
      <w:pPr>
        <w:spacing w:after="240"/>
        <w:ind w:left="0" w:firstLine="709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Na podst</w:t>
      </w:r>
      <w:r w:rsid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art. 12 pkt 8 lit. </w:t>
      </w:r>
      <w:r w:rsidR="00B245BA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„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</w:t>
      </w:r>
      <w:r w:rsidR="00B245BA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”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art. 40 ust. 1 oraz ar</w:t>
      </w:r>
      <w:r w:rsidR="00B245BA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t. 42 ust. 1 ustawy z dnia 5 czerwca 1998 r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o samorządzie </w:t>
      </w:r>
      <w:r w:rsidR="00B245BA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powiatowym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(</w:t>
      </w:r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2001 r. Nr 142 poz. 1592; z 2002 r. Nr 23 poz. 220, Nr 62 poz. 558, Nr 113 poz. 984, Nr 153 poz. 1271, Nr 200 poz. 1688, Nr 214 poz. 1806;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2003 r. Nr 162 poz. 1568;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2004 r. Nr 102 poz. 1055;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2007 r. Nr 173 poz. 1218;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2008 r. Nr 180 poz. 1111, Nr 223 poz. 1458;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2009 r. Nr 92 poz. 753, Nr 157 poz. 1241; Dz. U. </w:t>
      </w:r>
      <w:proofErr w:type="gramStart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2010 r. Nr 28 poz. 142, Nr 28 poz. 146, Nr 40 poz. 230, Nr 106 poz. 675</w:t>
      </w:r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; Dz. U. </w:t>
      </w:r>
      <w:proofErr w:type="gramStart"/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2011 r. Nr 21 poz. 113, 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Nr 149 poz. 887, </w:t>
      </w:r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217 poz. 1281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)</w:t>
      </w:r>
      <w:r w:rsidR="006A75E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oraz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art. 13 ust. </w:t>
      </w:r>
      <w:r w:rsidR="00913B6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1 i 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2a, art. 14 ust. 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2 i 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5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art. 23 ust. 1 pkt 7</w:t>
      </w:r>
      <w:r w:rsidR="00913B6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i 7a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art. </w:t>
      </w:r>
      <w:r w:rsidR="00C46BB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25b w związku z art. 25 ust. 2 i 3,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art. 34 ust. 6</w:t>
      </w:r>
      <w:r w:rsidR="0046778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i 6a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art. 37 ust. 3</w:t>
      </w:r>
      <w:r w:rsidR="00913B6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i 4</w:t>
      </w:r>
      <w:r w:rsidR="0002215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art. 68 ust. 1</w:t>
      </w:r>
      <w:r w:rsidR="006631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1b, 3 i 3a, art. 70 ust. 4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ustawy z dnia 21 sierpnia 1997</w:t>
      </w:r>
      <w:r w:rsidR="003A19E4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r. o gospodarce nieruchomościami (Dz.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U. </w:t>
      </w:r>
      <w:proofErr w:type="gramStart"/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2010 r. Nr 102</w:t>
      </w:r>
      <w:r w:rsidR="001151D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 651, Nr 106 poz. 675, Nr 143</w:t>
      </w:r>
      <w:r w:rsidR="001151D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poz.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963, Nr 155 poz. 1043, Nr 197</w:t>
      </w:r>
      <w:r w:rsidR="001151D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poz. 1307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Nr 200</w:t>
      </w:r>
      <w:r w:rsidR="001151D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z. 1323, Dz. U. </w:t>
      </w:r>
      <w:proofErr w:type="gramStart"/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2011 r. Nr 64</w:t>
      </w:r>
      <w:r w:rsidR="001151D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poz. 341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0E1D4C" w:rsidRP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0E1D4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106 poz. 622,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Nr 115 poz. 673, </w:t>
      </w:r>
      <w:r w:rsidR="000E1D4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129 poz. 732,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130</w:t>
      </w:r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 762, Nr 135</w:t>
      </w:r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</w:t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789, 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Nr 163 poz. 981, 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067DC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187</w:t>
      </w:r>
      <w:r w:rsidR="00A62A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poz. 1110</w:t>
      </w:r>
      <w:r w:rsidR="000E1D4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Nr 224 poz. 1337</w:t>
      </w:r>
      <w:r w:rsidR="00EF534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)</w:t>
      </w:r>
      <w:r w:rsid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EF534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uchwala się, co następuje:</w:t>
      </w:r>
    </w:p>
    <w:p w:rsidR="00BD375D" w:rsidRPr="00FF5E30" w:rsidRDefault="00877358" w:rsidP="00D4162E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1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Przepisy ogólne</w:t>
      </w:r>
    </w:p>
    <w:p w:rsidR="00BD375D" w:rsidRPr="00FF5E30" w:rsidRDefault="00BD375D" w:rsidP="00BD375D">
      <w:pPr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F3482B" w:rsidRPr="00D15DAE" w:rsidRDefault="00224F0D" w:rsidP="00F3482B">
      <w:pPr>
        <w:tabs>
          <w:tab w:val="left" w:pos="0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 w:rsidR="00F3482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1. </w:t>
      </w:r>
      <w:r w:rsidR="00F3482B" w:rsidRPr="00224F0D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F3482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Uchwała określa zasady nabywania</w:t>
      </w:r>
      <w:r w:rsidR="00DF37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nieruchomości przez Powiat Nakielski</w:t>
      </w:r>
      <w:r w:rsidR="00B806C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</w:t>
      </w:r>
      <w:r w:rsidR="00E8015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zbywania i</w:t>
      </w:r>
      <w:r w:rsidR="00B806C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obciążania</w:t>
      </w:r>
      <w:r w:rsidR="00E8015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ograniczonymi prawami rzeczowymi oraz</w:t>
      </w:r>
      <w:r w:rsidR="00134F1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oddawania w najem lub dzierżawę</w:t>
      </w:r>
      <w:r w:rsidR="00DF37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 okres dłuższy niż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DF37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lata</w:t>
      </w:r>
      <w:r w:rsidR="006932D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CB39E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6932D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albo na czas nieokreślony,</w:t>
      </w:r>
      <w:r w:rsidR="00E8015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a także</w:t>
      </w:r>
      <w:r w:rsidR="00DF37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E8015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użyczania </w:t>
      </w:r>
      <w:r w:rsidR="00B806C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nieruchomości</w:t>
      </w:r>
      <w:r w:rsidR="00E9093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wchodzących w skład zasobu nieruchomości</w:t>
      </w:r>
      <w:r w:rsidR="00DF37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Powiatu Nakielskiego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F3482B" w:rsidRDefault="00F3482B" w:rsidP="00F3482B">
      <w:pPr>
        <w:tabs>
          <w:tab w:val="left" w:pos="0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2.</w:t>
      </w:r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</w:t>
      </w:r>
      <w:r w:rsidR="00CA187A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Przepisy uchwały dotyczące </w:t>
      </w:r>
      <w:r w:rsidR="003A722B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zasad </w:t>
      </w:r>
      <w:r w:rsidR="00224F0D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oddawania w najem i dzierżawę</w:t>
      </w:r>
      <w:r w:rsidR="003A722B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nieruchomości na okres dłuższy </w:t>
      </w:r>
      <w:r w:rsidR="00D15DA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br/>
      </w:r>
      <w:r w:rsidR="003A722B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niż </w:t>
      </w:r>
      <w:r w:rsidR="00634507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3</w:t>
      </w:r>
      <w:r w:rsidR="003A722B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lata albo na czas nieokreślony </w:t>
      </w:r>
      <w:r w:rsidR="00CA187A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stosuje się odpowiednio</w:t>
      </w:r>
      <w:r w:rsidR="003A722B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w przypadkach,</w:t>
      </w:r>
      <w:r w:rsidR="003A722B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3A722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gdy po umowie zawartej na czas określony do trzech lat strony zawierają kolejne umowy, których przedmiotem jest ta sama nieruchomość.</w:t>
      </w:r>
    </w:p>
    <w:p w:rsidR="003743D7" w:rsidRDefault="00F3482B" w:rsidP="00AF1B22">
      <w:pPr>
        <w:tabs>
          <w:tab w:val="left" w:pos="0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D637F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Przepisy o nabywaniu i zbywaniu nieruchomości stosuje się odpowiednio do ich zamiany.</w:t>
      </w:r>
    </w:p>
    <w:p w:rsidR="00AF1B22" w:rsidRPr="00AF1B22" w:rsidRDefault="00AF1B22" w:rsidP="00AF1B22">
      <w:pPr>
        <w:tabs>
          <w:tab w:val="left" w:pos="0"/>
        </w:tabs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BD375D" w:rsidRPr="00FF5E30" w:rsidRDefault="004912B6" w:rsidP="00F3482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 2</w:t>
      </w:r>
      <w:r w:rsidR="00F3482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.</w:t>
      </w:r>
      <w:r w:rsidR="00F3482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Ilekroć w niniejszej uchwale jest mowa o: </w:t>
      </w:r>
    </w:p>
    <w:p w:rsidR="00397A9D" w:rsidRPr="00224F0D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Powiecie - należy przez to rozumieć Powiat Nakielski, </w:t>
      </w:r>
    </w:p>
    <w:p w:rsidR="00397A9D" w:rsidRPr="00224F0D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Radzie - należy przez to rozumieć Radę Powiatu w Nakle nad Notecią, </w:t>
      </w:r>
    </w:p>
    <w:p w:rsidR="00397A9D" w:rsidRPr="00224F0D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Zarządzie - należy przez to rozumieć Zarząd Powiatu w Nakle nad Notecią, </w:t>
      </w:r>
    </w:p>
    <w:p w:rsidR="00397A9D" w:rsidRPr="00224F0D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ustawie</w:t>
      </w:r>
      <w:proofErr w:type="gramEnd"/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- należy przez to rozumieć ustawę z dnia 21 sierpnia 1997 r. o gospodarce nieruchomościami</w:t>
      </w:r>
      <w:r w:rsidR="00D72400"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397A9D" w:rsidRPr="00FF5E30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rozporządzeniu</w:t>
      </w:r>
      <w:proofErr w:type="gramEnd"/>
      <w:r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- należy przez to rozumieć rozporządzenie Rady Ministrów z dnia 14 września 2004 r. </w:t>
      </w:r>
      <w:r w:rsidR="00D15DAE" w:rsidRPr="00224F0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sprawie sposobu i trybu przeprowadzania przetargów oraz rokowań na zbycie nieruchomości (Dz. U. </w:t>
      </w: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2004 r.,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Nr 207, poz. 2108 ze zmianami),</w:t>
      </w:r>
    </w:p>
    <w:p w:rsidR="00397A9D" w:rsidRPr="00FF5E30" w:rsidRDefault="00397A9D" w:rsidP="00AF7765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zasobie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- należy przez to rozumieć</w:t>
      </w:r>
      <w:r w:rsidR="00894A8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powiatowy zasób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nieruchomości,</w:t>
      </w:r>
      <w:r w:rsidR="00894A8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którego skład wchodzą </w:t>
      </w:r>
      <w:proofErr w:type="gramStart"/>
      <w:r w:rsidR="00894A8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nieruchomości</w:t>
      </w:r>
      <w:proofErr w:type="gramEnd"/>
      <w:r w:rsidR="00062894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które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stanowią przedmiot własności Powiatu Nakielskiego i nie zostały oddane w użytkowanie wieczyste, oraz nieruchomości będące przedmiotem użytkowania wieczystego Powiatu Nakielskiego,</w:t>
      </w:r>
    </w:p>
    <w:p w:rsidR="007E7939" w:rsidRPr="00D15DAE" w:rsidRDefault="00EF4D9B" w:rsidP="007E7939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celu</w:t>
      </w:r>
      <w:proofErr w:type="gramEnd"/>
      <w:r w:rsidR="00397A9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publi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cznym</w:t>
      </w:r>
      <w:r w:rsidR="00397A9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- należy przez to rozumieć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jeden z celów publicznych określonych</w:t>
      </w:r>
      <w:r w:rsidR="00397A9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ustawie wymie</w:t>
      </w:r>
      <w:r w:rsidR="00EE2FA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nionej </w:t>
      </w:r>
      <w:r w:rsidR="0004128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  <w:t xml:space="preserve">w </w:t>
      </w:r>
      <w:r w:rsidR="00EE2FA7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pkt. 4 i innych ustawach,</w:t>
      </w:r>
    </w:p>
    <w:p w:rsidR="00B273D1" w:rsidRPr="00D15DAE" w:rsidRDefault="00B273D1" w:rsidP="00B273D1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lokalu</w:t>
      </w:r>
      <w:proofErr w:type="gramEnd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- należy przez to rozumieć lokal mieszkalny w rozumieniu p</w:t>
      </w:r>
      <w:r w:rsidR="00EE2FA7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rzepisów o </w:t>
      </w:r>
      <w:r w:rsidR="00AC0DE9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ochronie praw lokatorów</w:t>
      </w:r>
      <w:r w:rsidR="00EE2FA7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</w:p>
    <w:p w:rsidR="007E7939" w:rsidRPr="00B62A8F" w:rsidRDefault="00B273D1" w:rsidP="00B62A8F">
      <w:pPr>
        <w:pStyle w:val="Akapitzlist"/>
        <w:numPr>
          <w:ilvl w:val="0"/>
          <w:numId w:val="7"/>
        </w:numPr>
        <w:tabs>
          <w:tab w:val="left" w:pos="567"/>
        </w:tabs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gospodarstwie</w:t>
      </w:r>
      <w:proofErr w:type="gramEnd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domowym – należy przez to rozumieć gospodarstwo domowe w rozumieniu przepisów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 dodatkach mieszkaniowych.</w:t>
      </w:r>
    </w:p>
    <w:p w:rsidR="004912B6" w:rsidRPr="00FF5E30" w:rsidRDefault="004912B6" w:rsidP="003743D7">
      <w:pPr>
        <w:ind w:left="-780" w:firstLine="397"/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</w:pPr>
    </w:p>
    <w:p w:rsidR="008F2532" w:rsidRPr="00C77288" w:rsidRDefault="007E7939" w:rsidP="007E7939">
      <w:pPr>
        <w:tabs>
          <w:tab w:val="left" w:pos="0"/>
        </w:tabs>
        <w:ind w:left="0" w:firstLine="284"/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</w:pPr>
      <w:bookmarkStart w:id="0" w:name="zastrzeżenie"/>
      <w:r w:rsidRP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bookmarkEnd w:id="0"/>
      <w:r w:rsidRP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3</w:t>
      </w:r>
      <w:r w:rsidR="00B62A8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.</w:t>
      </w:r>
      <w:r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</w:t>
      </w:r>
      <w:r w:rsidR="008F2532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Zasady </w:t>
      </w:r>
      <w:r w:rsid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wynajmowania lokali mieszkalnych</w:t>
      </w:r>
      <w:r w:rsidR="00E97130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w rozumieniu przepisów ustawy z dnia </w:t>
      </w:r>
      <w:r w:rsid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21 czerwca 2001</w:t>
      </w:r>
      <w:r w:rsidR="00E97130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r. </w:t>
      </w:r>
      <w:r w:rsidR="00D15DA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br/>
      </w:r>
      <w:r w:rsidR="00E97130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o </w:t>
      </w:r>
      <w:r w:rsid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ochronie </w:t>
      </w:r>
      <w:proofErr w:type="gramStart"/>
      <w:r w:rsid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praw</w:t>
      </w:r>
      <w:proofErr w:type="gramEnd"/>
      <w:r w:rsid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lokatorów, mieszkaniowym zasobie gminy i o zmianie Kodeksu cywilnego</w:t>
      </w:r>
      <w:r w:rsidR="00D15DA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(tekst jedn. Dz. U. </w:t>
      </w:r>
      <w:proofErr w:type="gramStart"/>
      <w:r w:rsidR="00D15DA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z</w:t>
      </w:r>
      <w:proofErr w:type="gramEnd"/>
      <w:r w:rsidR="00D15DA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2005 </w:t>
      </w:r>
      <w:r w:rsidR="009C50C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r. Nr 31</w:t>
      </w:r>
      <w:r w:rsidR="00F04907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, poz. </w:t>
      </w:r>
      <w:r w:rsidR="009C50CE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266</w:t>
      </w:r>
      <w:r w:rsidR="00F04907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ze zmianami)</w:t>
      </w:r>
      <w:r w:rsidR="00AC0DE9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oraz stawki czynszu </w:t>
      </w:r>
      <w:r w:rsidR="00A17FAD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określa</w:t>
      </w:r>
      <w:r w:rsidR="00AC0DE9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ją odrębne uchwały</w:t>
      </w:r>
      <w:r w:rsidR="00A17FAD" w:rsidRPr="00C7728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.</w:t>
      </w:r>
    </w:p>
    <w:p w:rsidR="00DD7CA0" w:rsidRPr="00FF5E30" w:rsidRDefault="00DD7CA0" w:rsidP="0047207D">
      <w:pPr>
        <w:ind w:firstLine="70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912B6" w:rsidRDefault="00877358" w:rsidP="00565C40">
      <w:pPr>
        <w:ind w:left="0" w:firstLine="0"/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2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EC0C8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Zasady nabywania nieruchomości</w:t>
      </w:r>
    </w:p>
    <w:p w:rsidR="00070EE4" w:rsidRPr="00565C40" w:rsidRDefault="00070EE4" w:rsidP="00565C40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9324E" w:rsidRPr="00FF5E30" w:rsidRDefault="004912B6" w:rsidP="00BB6041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bookmarkStart w:id="1" w:name="zastrzeżenie1"/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bookmarkEnd w:id="1"/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4</w:t>
      </w:r>
      <w:r w:rsidR="00BB604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="0049324E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Nabycie nieruchomości do zasobu może nastąpić w szczególności w drodze:</w:t>
      </w:r>
    </w:p>
    <w:p w:rsidR="0049324E" w:rsidRPr="00FF5E30" w:rsidRDefault="0049324E" w:rsidP="005D31B1">
      <w:pPr>
        <w:pStyle w:val="Akapitzlist"/>
        <w:numPr>
          <w:ilvl w:val="0"/>
          <w:numId w:val="26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umowy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sprzedaży,</w:t>
      </w:r>
    </w:p>
    <w:p w:rsidR="0049324E" w:rsidRPr="00FF5E30" w:rsidRDefault="0049324E" w:rsidP="005D31B1">
      <w:pPr>
        <w:pStyle w:val="Akapitzlist"/>
        <w:numPr>
          <w:ilvl w:val="0"/>
          <w:numId w:val="26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lastRenderedPageBreak/>
        <w:t>umowy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darowizny,</w:t>
      </w:r>
    </w:p>
    <w:p w:rsidR="0049324E" w:rsidRPr="00FF5E30" w:rsidRDefault="0049324E" w:rsidP="005D31B1">
      <w:pPr>
        <w:pStyle w:val="Akapitzlist"/>
        <w:numPr>
          <w:ilvl w:val="0"/>
          <w:numId w:val="26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umowy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zamiany,</w:t>
      </w:r>
    </w:p>
    <w:p w:rsidR="0049324E" w:rsidRPr="00FF5E30" w:rsidRDefault="0049324E" w:rsidP="005D31B1">
      <w:pPr>
        <w:pStyle w:val="Akapitzlist"/>
        <w:numPr>
          <w:ilvl w:val="0"/>
          <w:numId w:val="26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umowy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 oddanie nieruchomości gruntowej w użytkowanie wieczyste,</w:t>
      </w:r>
    </w:p>
    <w:p w:rsidR="001F6410" w:rsidRPr="00565C40" w:rsidRDefault="004101AB" w:rsidP="00E7170E">
      <w:pPr>
        <w:pStyle w:val="Akapitzlist"/>
        <w:numPr>
          <w:ilvl w:val="0"/>
          <w:numId w:val="26"/>
        </w:numPr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decyzji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wojewody o przekazaniu Powiatowi mienia Skarbu Państwa w trybie ustawy z dnia 13 października 1998 r. Przepisy wprowadzające ustawy reformujące administrację publiczną (Dz. U. </w:t>
      </w: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1998 r. Nr 133, poz. 872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ze zmianami) – na wniosek Zarządu.</w:t>
      </w:r>
    </w:p>
    <w:p w:rsidR="00BD375D" w:rsidRPr="00FF5E30" w:rsidRDefault="00BD375D" w:rsidP="001E01B7">
      <w:pPr>
        <w:ind w:left="0" w:firstLine="0"/>
        <w:jc w:val="center"/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</w:pPr>
    </w:p>
    <w:p w:rsidR="00BB6041" w:rsidRDefault="00BB6041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 w:rsidR="00C622BD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5</w:t>
      </w: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Pr="00784F62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E71C2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Wyraża się zgodę </w:t>
      </w:r>
      <w:r w:rsidR="00C86B6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dla Zarządu </w:t>
      </w:r>
      <w:r w:rsidR="00E71C2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na o</w:t>
      </w:r>
      <w:r w:rsidR="00B12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dpłatne nabycie nieruchomości, której cena </w:t>
      </w:r>
      <w:r w:rsidR="005E1C9E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 </w:t>
      </w:r>
      <w:r w:rsidR="00B82054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przekracza</w:t>
      </w:r>
      <w:r w:rsidR="00E71C2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5</w:t>
      </w:r>
      <w:r w:rsidR="00B12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0.000 </w:t>
      </w:r>
      <w:proofErr w:type="gramStart"/>
      <w:r w:rsidR="00B12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zł</w:t>
      </w:r>
      <w:proofErr w:type="gramEnd"/>
      <w:r w:rsidR="001E01B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1E01B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 zastrzeżeniem ust. 2.</w:t>
      </w:r>
    </w:p>
    <w:p w:rsidR="00BB6041" w:rsidRDefault="00BB6041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2.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F66B2D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Niedozwolone jest nabyc</w:t>
      </w:r>
      <w:r w:rsidR="00352311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ie nieruchomości</w:t>
      </w:r>
      <w:r w:rsidR="001E01B7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trybie określonym w ust. 1</w:t>
      </w:r>
      <w:r w:rsidR="00352311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 cenę wyższą</w:t>
      </w:r>
      <w:r w:rsidR="00F66B2D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niż jej wartość rynkowa.</w:t>
      </w:r>
    </w:p>
    <w:p w:rsidR="004B21B0" w:rsidRPr="00FF5E30" w:rsidRDefault="004B21B0" w:rsidP="004912B6">
      <w:pPr>
        <w:ind w:left="0" w:firstLine="0"/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733E74" w:rsidRDefault="00565C40" w:rsidP="00733E74">
      <w:pPr>
        <w:tabs>
          <w:tab w:val="left" w:pos="0"/>
        </w:tabs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6</w:t>
      </w:r>
      <w:r w:rsidR="00C622BD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D17A31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Odpłatne </w:t>
      </w:r>
      <w:r w:rsidR="00D17A3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abycie nieruchomości</w:t>
      </w:r>
      <w:r w:rsidR="00B87ED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granicach określonych w § </w:t>
      </w:r>
      <w:r w:rsidR="006E09D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5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19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ust. 1</w:t>
      </w:r>
      <w:r w:rsidR="00501AC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należy poprzedzić rokowaniami przeprowadzonymi pomiędzy</w:t>
      </w:r>
      <w:r w:rsidR="007C2A4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4B21B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Zarządem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a </w:t>
      </w:r>
      <w:r w:rsidR="004C3F0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zbywcą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mającymi na celu ustalenie warunków nabycia</w:t>
      </w:r>
      <w:r w:rsidR="004B21B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nieruchomości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</w:t>
      </w:r>
      <w:r w:rsidR="00E00EF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tym także </w:t>
      </w:r>
      <w:r w:rsidR="004B21B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jej </w:t>
      </w:r>
      <w:r w:rsidR="00B87ED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ceny, na następujących zasadach: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733E74" w:rsidRDefault="00733E74" w:rsidP="00337E90">
      <w:pPr>
        <w:numPr>
          <w:ilvl w:val="0"/>
          <w:numId w:val="43"/>
        </w:numPr>
        <w:tabs>
          <w:tab w:val="left" w:pos="0"/>
        </w:tabs>
        <w:ind w:left="0" w:firstLine="425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Podstawą do </w:t>
      </w:r>
      <w:r w:rsidR="00F66B2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prowadzenia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rokowań</w:t>
      </w:r>
      <w:r w:rsidR="00F66B2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o których mowa w</w:t>
      </w:r>
      <w:r w:rsidR="0060740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yżej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jest opinia </w:t>
      </w:r>
      <w:r w:rsidR="00F66B2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postaci operatu szacunkowego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sporządzona przez rzeczoznawcę majątkowego</w:t>
      </w:r>
      <w:r w:rsidR="000A104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F66B2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określająca wartość rynkową nieruchomości</w:t>
      </w:r>
      <w:r w:rsidR="00271F8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na zlecenie Zarządu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9A28A9" w:rsidRPr="00733E74" w:rsidRDefault="00733E74" w:rsidP="00337E90">
      <w:pPr>
        <w:numPr>
          <w:ilvl w:val="0"/>
          <w:numId w:val="43"/>
        </w:numPr>
        <w:tabs>
          <w:tab w:val="left" w:pos="0"/>
        </w:tabs>
        <w:ind w:left="0" w:firstLine="425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271F8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Zarząd może </w:t>
      </w:r>
      <w:r w:rsidR="006473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</w:t>
      </w:r>
      <w:r w:rsidR="00271F8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przypadkach ekonomicznie uzasadnionych przyjąć wartość rynkową określoną w opinii</w:t>
      </w:r>
      <w:r w:rsidR="006157D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1C148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1C148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9A28A9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 której mowa w ust. </w:t>
      </w:r>
      <w:r w:rsidR="009A28A9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1</w:t>
      </w:r>
      <w:r w:rsidR="009A28A9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sporządzonej na zlecenie innego podmiotu.</w:t>
      </w:r>
    </w:p>
    <w:p w:rsidR="007A7CFB" w:rsidRPr="00FF5E30" w:rsidRDefault="007A7CFB" w:rsidP="00E7170E">
      <w:pPr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7A7CFB" w:rsidRPr="00FF5E30" w:rsidRDefault="003D3AE0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 w:rsidR="00C622BD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7</w:t>
      </w:r>
      <w:r w:rsidR="00565C4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="00E71C2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Wyraża się zgodę na n</w:t>
      </w:r>
      <w:r w:rsidR="007A7CF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ieodpłatne nabycie nieruchomości, jeżeli Zarząd przy zachowaniu </w:t>
      </w:r>
      <w:r w:rsidR="007A7CFB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należytej staranności</w:t>
      </w:r>
      <w:r w:rsidR="007A7CF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uzna, iż nie będzie ono rodziło </w:t>
      </w:r>
      <w:r w:rsidR="00AF437A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zbędnego </w:t>
      </w:r>
      <w:r w:rsidR="007A7CFB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obciążenia</w:t>
      </w:r>
      <w:r w:rsidR="007A7CF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dla budżetu Powiatu.</w:t>
      </w:r>
    </w:p>
    <w:p w:rsidR="00402C37" w:rsidRPr="00FF5E30" w:rsidRDefault="00402C37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F23E03" w:rsidRDefault="004912B6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0A464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8</w:t>
      </w:r>
      <w:r w:rsidR="00565C4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="00F23E03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Wyraża się zgodę na występowanie </w:t>
      </w:r>
      <w:r w:rsidR="00402C37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przez Zarząd </w:t>
      </w:r>
      <w:r w:rsidR="00F23E03" w:rsidRPr="00FF5E30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do właściwego wojewody o przekazanie Powiatowi mienia Skarbu Państwa w trybie przepisów wskazanych w </w:t>
      </w:r>
      <w:r w:rsidR="00F23E0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§</w:t>
      </w:r>
      <w:r w:rsidR="00E966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6E09D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4</w:t>
      </w:r>
      <w:r w:rsidR="0002617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pkt 5.</w:t>
      </w:r>
    </w:p>
    <w:p w:rsidR="003A56E7" w:rsidRDefault="003A56E7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3A56E7" w:rsidRPr="00565C40" w:rsidRDefault="009A28A9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9A28A9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 xml:space="preserve">§ </w:t>
      </w:r>
      <w:r w:rsidR="003A56E7" w:rsidRPr="009A28A9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9</w:t>
      </w:r>
      <w:r w:rsidR="003A56E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Nabycie nieruchomości do zasobu wymaga </w:t>
      </w:r>
      <w:r w:rsidR="001C148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zasięgnięcia</w:t>
      </w:r>
      <w:r w:rsidR="003A56E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przez Zarząd opinii komisji Rady właściwej </w:t>
      </w:r>
      <w:r w:rsidR="005C2DB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3A56E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do spraw budżetu i finansów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za wyjątkiem przypadku określonego w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§</w:t>
      </w:r>
      <w:r w:rsidRPr="009A28A9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8.</w:t>
      </w:r>
    </w:p>
    <w:p w:rsidR="00F23E03" w:rsidRPr="00FF5E30" w:rsidRDefault="00F23E03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BE1457" w:rsidRPr="00FF5E30" w:rsidRDefault="00BE1457" w:rsidP="00565C40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 w:rsidR="00C622BD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10</w:t>
      </w:r>
      <w:r w:rsidR="00565C4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Odstąpienie od warunków nabycia nieruchomości określonych w niniejszym rozdziale wymaga zgody Rady.</w:t>
      </w:r>
    </w:p>
    <w:p w:rsidR="00BA253E" w:rsidRPr="00FF5E30" w:rsidRDefault="00BA253E" w:rsidP="00BD375D">
      <w:pPr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BD375D" w:rsidRPr="00FF5E30" w:rsidRDefault="00877358" w:rsidP="00AD0E81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3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Zasady zbywania nieruchomości</w:t>
      </w:r>
    </w:p>
    <w:p w:rsidR="004912B6" w:rsidRPr="00FF5E30" w:rsidRDefault="004912B6" w:rsidP="00BD375D">
      <w:pPr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BD375D" w:rsidRPr="00FF5E30" w:rsidRDefault="004912B6" w:rsidP="00D92BCA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D92BCA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D92BCA" w:rsidRPr="00784F62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D92BCA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Zbycie nieruchomości </w:t>
      </w:r>
      <w:r w:rsidR="003D4D7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 zasobu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może nastąpić w szczególności w</w:t>
      </w:r>
      <w:r w:rsidR="00552C24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sposób określony w </w:t>
      </w:r>
      <w:hyperlink w:anchor="zastrzeżenie1" w:history="1">
        <w:r w:rsidR="00552C24" w:rsidRPr="004F4437">
          <w:rPr>
            <w:rStyle w:val="Hipercze"/>
            <w:rFonts w:ascii="Arial Narrow" w:eastAsia="Times New Roman" w:hAnsi="Arial Narrow"/>
            <w:color w:val="000000"/>
            <w:sz w:val="20"/>
            <w:szCs w:val="20"/>
            <w:lang w:eastAsia="pl-PL"/>
          </w:rPr>
          <w:t>§</w:t>
        </w:r>
      </w:hyperlink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6E09D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4</w:t>
      </w:r>
      <w:r w:rsidR="003D4D7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pkt 1-4.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BD375D" w:rsidRPr="00FF5E30" w:rsidRDefault="00D92BCA" w:rsidP="00D92BCA">
      <w:pPr>
        <w:pStyle w:val="Akapitzlist"/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2.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5E0E3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Wyraża się zgodę na zbywanie</w:t>
      </w:r>
      <w:r w:rsidR="007D392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nieruchomości o wart</w:t>
      </w:r>
      <w:r w:rsidR="005621F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ości</w:t>
      </w:r>
      <w:r w:rsidR="001C7F5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rynkowej</w:t>
      </w:r>
      <w:r w:rsidR="005621F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5E0E3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</w:t>
      </w:r>
      <w:r w:rsidR="00BB140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przekraczającej 10</w:t>
      </w:r>
      <w:r w:rsidR="005621F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0.000 </w:t>
      </w:r>
      <w:proofErr w:type="gramStart"/>
      <w:r w:rsidR="005621F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zł</w:t>
      </w:r>
      <w:proofErr w:type="gramEnd"/>
      <w:r w:rsidR="005E0E3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Zbycie nieruchomości </w:t>
      </w:r>
      <w:r w:rsidR="00E06B3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 wartości wyższej</w:t>
      </w:r>
      <w:r w:rsidR="001C7F5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wymaga zgody Rady</w:t>
      </w:r>
      <w:r w:rsidR="00F43F6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="00B2434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Zgody wymaga również z</w:t>
      </w:r>
      <w:r w:rsidR="00F43F6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bycie</w:t>
      </w:r>
      <w:r w:rsidR="00B2434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nieruchomości</w:t>
      </w:r>
      <w:r w:rsidR="00F43F6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DD7A9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nieodpłatne albo </w:t>
      </w:r>
      <w:r w:rsidR="00F43F60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 cenę niższą niż wartość rynkowa</w:t>
      </w:r>
      <w:r w:rsidR="006D1D1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</w:t>
      </w:r>
      <w:r w:rsidR="001F743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 wyjątkiem przypadków określonych w </w:t>
      </w:r>
      <w:hyperlink r:id="rId8" w:anchor="zastrzeżenie1" w:history="1">
        <w:r w:rsidR="001F743D">
          <w:rPr>
            <w:rStyle w:val="Hipercze"/>
            <w:rFonts w:ascii="Arial Narrow" w:eastAsia="Times New Roman" w:hAnsi="Arial Narrow"/>
            <w:color w:val="000000"/>
            <w:sz w:val="20"/>
            <w:szCs w:val="20"/>
            <w:lang w:eastAsia="pl-PL"/>
          </w:rPr>
          <w:t>§</w:t>
        </w:r>
      </w:hyperlink>
      <w:r w:rsidR="001F743D">
        <w:rPr>
          <w:rFonts w:ascii="Arial Narrow" w:hAnsi="Arial Narrow"/>
          <w:sz w:val="20"/>
          <w:szCs w:val="20"/>
        </w:rPr>
        <w:t xml:space="preserve"> 13 ust. 3 i 4.</w:t>
      </w:r>
    </w:p>
    <w:p w:rsidR="004912B6" w:rsidRPr="00FF5E30" w:rsidRDefault="004912B6" w:rsidP="00BD375D">
      <w:pPr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BD375D" w:rsidRPr="00D574D1" w:rsidRDefault="00B76E89" w:rsidP="0006047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2</w:t>
      </w:r>
      <w:r w:rsidR="00D574D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BD375D" w:rsidRPr="00784F62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Zwalnia się </w:t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 obowiązku </w:t>
      </w:r>
      <w:r w:rsidR="00BD3719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sprzedaży</w:t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drodze prze</w:t>
      </w:r>
      <w:r w:rsidR="0092086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targu nieruchomości przeznaczonych</w:t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pod budownictwo mieszkaniowe lub na realizację urządzeń infrastruktury technicznej albo innych celów publicznych, jeżeli cele te będą realizowane przez podmioty, dla których są to cele statutowe i których dochody przeznacza się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całości na działalność statutową.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BD375D" w:rsidRPr="00FF5E30" w:rsidRDefault="00BD375D" w:rsidP="0006047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2.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9D7F1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Przepis ust. 1 stosuje się również,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gdy sprzedaż następuje na rzecz osoby, </w:t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która dzierżawi nieruchomość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podstawie umowy </w:t>
      </w:r>
      <w:proofErr w:type="gramStart"/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zawartej co</w:t>
      </w:r>
      <w:proofErr w:type="gramEnd"/>
      <w:r w:rsidR="00D8265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najmniej na 10 lat, jeżeli nieruchomość ta została zabudowana na podstawie zezwolenia na budowę</w:t>
      </w:r>
      <w:r w:rsidR="0064770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BD375D" w:rsidRDefault="00BD375D" w:rsidP="0006047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3.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Przepisów ust. 1 i 2 nie stosuje się, jeżeli o nabycie nieruchomości ubiega się więcej niż jeden podmio</w:t>
      </w:r>
      <w:r w:rsidR="00C13E5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t spełniający powyższe warunki.</w:t>
      </w:r>
    </w:p>
    <w:p w:rsidR="004912B6" w:rsidRPr="00FF5E30" w:rsidRDefault="004912B6" w:rsidP="00BD375D">
      <w:pPr>
        <w:jc w:val="center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BD375D" w:rsidRPr="00FF5E30" w:rsidRDefault="004912B6" w:rsidP="0006047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bookmarkStart w:id="2" w:name="zastrzeżenie2"/>
      <w:r w:rsidRPr="0006047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bookmarkEnd w:id="2"/>
      <w:r w:rsidRPr="0006047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3</w:t>
      </w:r>
      <w:r w:rsidR="0006047B" w:rsidRPr="0006047B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 xml:space="preserve">. </w:t>
      </w:r>
      <w:r w:rsidR="0006047B"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1.</w:t>
      </w:r>
      <w:r w:rsidR="0006047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Do ustalenia cen</w:t>
      </w:r>
      <w:r w:rsidR="0073205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y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sprzedaży nieruchomości stosuje się zasady określone w </w:t>
      </w:r>
      <w:r w:rsidR="00920E2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ustawie</w:t>
      </w:r>
      <w:r w:rsidR="003D12E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296615" w:rsidRDefault="0006047B" w:rsidP="0006047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2.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dz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ielenie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FF47B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przez Zarząd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bonifikaty od ceny ustalonej zgodnie z ustawą, jeżeli nieruchom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ość jest sprzedawana w przypadkach opisanych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art. 68 ust. 1 pkt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1-6 oraz pkt. 8-11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ustawy</w:t>
      </w:r>
      <w:r w:rsidR="005B6283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wymaga zgody Rady</w:t>
      </w:r>
      <w:r w:rsidR="0029661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B273D1" w:rsidRPr="00D15DAE" w:rsidRDefault="00B273D1" w:rsidP="00B273D1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3.</w:t>
      </w: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Upoważnia się Zarząd do udzielenia bonifikaty od ceny </w:t>
      </w:r>
      <w:r w:rsidR="00ED43E8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sprzedaży </w:t>
      </w: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lokalu ustalonej zgodnie z ustawą. Wysokość udzielonej bonifikaty wynosi: </w:t>
      </w:r>
    </w:p>
    <w:p w:rsidR="00B273D1" w:rsidRPr="00D15DAE" w:rsidRDefault="00B273D1" w:rsidP="008411A9">
      <w:pPr>
        <w:numPr>
          <w:ilvl w:val="0"/>
          <w:numId w:val="39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wypadku płatności jednorazowej przed zawarciem aktu notarialnego – nie więcej niż:</w:t>
      </w:r>
    </w:p>
    <w:p w:rsidR="00B273D1" w:rsidRPr="00D15DAE" w:rsidRDefault="00FC0A74" w:rsidP="00E7170E">
      <w:pPr>
        <w:numPr>
          <w:ilvl w:val="0"/>
          <w:numId w:val="40"/>
        </w:numPr>
        <w:ind w:left="284" w:firstLine="283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8</w:t>
      </w:r>
      <w:r w:rsidR="00B273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0% </w:t>
      </w:r>
      <w:r w:rsidR="00D0754A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–</w:t>
      </w:r>
      <w:r w:rsidR="00B273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jeżeli</w:t>
      </w:r>
      <w:proofErr w:type="gramEnd"/>
      <w:r w:rsidR="00B273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dochód miesięczny na jednego członka rodziny w gospodarstwie domowym nie przekracza 50% przeciętnego miesięcznego wynagrodzenia w gospodarce narodowej za ostatnie półrocze roku poprzedzającego rok </w:t>
      </w:r>
      <w:r w:rsidR="00C1467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podjęci</w:t>
      </w:r>
      <w:r w:rsidR="00CE0A8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</w:t>
      </w:r>
      <w:r w:rsidR="00C1467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273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przez </w:t>
      </w:r>
      <w:r w:rsidR="00ED43E8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Zarząd</w:t>
      </w:r>
      <w:r w:rsidR="00FB465E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uchwały</w:t>
      </w:r>
      <w:r w:rsidR="00B273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 przeznaczeniu nieruchomości do sprzedaży, </w:t>
      </w:r>
    </w:p>
    <w:p w:rsidR="00B273D1" w:rsidRPr="00D15DAE" w:rsidRDefault="00B273D1" w:rsidP="00E7170E">
      <w:pPr>
        <w:numPr>
          <w:ilvl w:val="0"/>
          <w:numId w:val="40"/>
        </w:numPr>
        <w:ind w:left="284" w:firstLine="283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50% – jeżeli</w:t>
      </w:r>
      <w:proofErr w:type="gramEnd"/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dochód miesięczny na jednego członka rodziny</w:t>
      </w:r>
      <w:r w:rsidR="00D01ED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gospodarstwie domowym</w:t>
      </w: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nabywcy przekrac</w:t>
      </w:r>
      <w:r w:rsidR="00D0754A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 kryterium </w:t>
      </w:r>
      <w:r w:rsidR="00D01ED1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określone</w:t>
      </w:r>
      <w:r w:rsidR="00D0754A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pkt. </w:t>
      </w:r>
      <w:r w:rsidR="00FC0A7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</w:t>
      </w:r>
      <w:r w:rsidR="00D0754A"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;</w:t>
      </w:r>
    </w:p>
    <w:p w:rsidR="00B273D1" w:rsidRPr="00D15DAE" w:rsidRDefault="00B273D1" w:rsidP="008411A9">
      <w:pPr>
        <w:numPr>
          <w:ilvl w:val="0"/>
          <w:numId w:val="39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lastRenderedPageBreak/>
        <w:t>W wypadku płatności w ratach – nie więcej niż 50%.</w:t>
      </w:r>
    </w:p>
    <w:p w:rsidR="00A93C90" w:rsidRPr="00FF5E30" w:rsidRDefault="00B273D1" w:rsidP="0006047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4</w:t>
      </w:r>
      <w:r w:rsidR="0006047B" w:rsidRPr="00784F6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  <w:r w:rsidR="0006047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29661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Cenę nieruchomości lub jej części wpisanej do rejestru zabytków</w:t>
      </w:r>
      <w:r w:rsidR="005F750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sprzedawanej w drodze bezprzetargowej,</w:t>
      </w:r>
      <w:r w:rsidR="0029661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obniża się o</w:t>
      </w:r>
      <w:r w:rsidR="00A93C9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:</w:t>
      </w:r>
    </w:p>
    <w:p w:rsidR="00A93C90" w:rsidRPr="00D0754A" w:rsidRDefault="00A93C90" w:rsidP="0006047B">
      <w:pPr>
        <w:numPr>
          <w:ilvl w:val="0"/>
          <w:numId w:val="35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50</w:t>
      </w:r>
      <w:r w:rsidRPr="00D0754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% </w:t>
      </w:r>
      <w:r w:rsidR="00D0754A" w:rsidRPr="00D0754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–</w:t>
      </w:r>
      <w:r w:rsidRPr="00D0754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wypadku sprzedaży na rzecz osób fizycznych,</w:t>
      </w:r>
    </w:p>
    <w:p w:rsidR="000419A8" w:rsidRDefault="00A93C90" w:rsidP="000419A8">
      <w:pPr>
        <w:numPr>
          <w:ilvl w:val="0"/>
          <w:numId w:val="35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D0754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30% </w:t>
      </w:r>
      <w:r w:rsidR="00D0754A" w:rsidRPr="00D0754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–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wypadku sprzedaży na rzecz osób prawnych.</w:t>
      </w:r>
    </w:p>
    <w:p w:rsidR="000419A8" w:rsidRDefault="000419A8" w:rsidP="000419A8">
      <w:p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C456F2" w:rsidRPr="00FF5E30" w:rsidRDefault="000419A8" w:rsidP="008A3B6F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4</w:t>
      </w: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Pr="000419A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Rozłożona na raty niespłacona część ceny podlega oprocentowaniu przy zastosowaniu stopy procentowej równej stopie lombardowej stosowanej przez Narodowy Bank Polski</w:t>
      </w:r>
      <w:r w:rsidR="00C14673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, obowiązującej w dniu podpisania protokołu uzgodnień</w:t>
      </w:r>
      <w:r w:rsidRPr="000419A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.</w:t>
      </w:r>
    </w:p>
    <w:p w:rsidR="001B4C15" w:rsidRDefault="001B4C15" w:rsidP="00C456F2">
      <w:pPr>
        <w:ind w:left="0" w:firstLine="0"/>
        <w:jc w:val="center"/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</w:pPr>
    </w:p>
    <w:p w:rsidR="00BD375D" w:rsidRPr="00FF5E30" w:rsidRDefault="00C00277" w:rsidP="00C456F2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4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Zasady obciążania nieruchomości gruntowych</w:t>
      </w:r>
    </w:p>
    <w:p w:rsidR="00AD6780" w:rsidRPr="00FF5E30" w:rsidRDefault="00AD6780" w:rsidP="00626EB2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10816" w:rsidRPr="00FF5E30" w:rsidRDefault="00BD375D" w:rsidP="00A677C9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5</w:t>
      </w:r>
      <w:r w:rsidR="00A677C9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A677C9" w:rsidRPr="00730146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A677C9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5C112E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Nieruchomości wchodzące w skład zasobu mogą być obciążane</w:t>
      </w:r>
      <w:r w:rsidR="00C86B6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przez Zarząd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ogr</w:t>
      </w:r>
      <w:r w:rsidR="008108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aniczonymi prawami </w:t>
      </w:r>
      <w:r w:rsidR="00C86B6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rzeczowymi</w:t>
      </w:r>
      <w:r w:rsidR="00C86B6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a</w:t>
      </w:r>
      <w:r w:rsidR="001F3DA8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890DA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szczególności</w:t>
      </w:r>
      <w:r w:rsidR="0081081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: </w:t>
      </w:r>
    </w:p>
    <w:p w:rsidR="00C23B87" w:rsidRPr="00FF5E30" w:rsidRDefault="00B4639D" w:rsidP="00A677C9">
      <w:pPr>
        <w:numPr>
          <w:ilvl w:val="1"/>
          <w:numId w:val="25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służebnością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gruntową</w:t>
      </w:r>
      <w:r w:rsidR="00C23B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</w:p>
    <w:p w:rsidR="0014150F" w:rsidRPr="00FF5E30" w:rsidRDefault="00C23B87" w:rsidP="00A677C9">
      <w:pPr>
        <w:numPr>
          <w:ilvl w:val="1"/>
          <w:numId w:val="25"/>
        </w:numPr>
        <w:ind w:left="426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służebnością</w:t>
      </w:r>
      <w:proofErr w:type="gramEnd"/>
      <w:r w:rsidR="00BD54C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przesyłu.</w:t>
      </w:r>
    </w:p>
    <w:p w:rsidR="00A677C9" w:rsidRPr="00730146" w:rsidRDefault="0014150F" w:rsidP="00AD0E81">
      <w:pPr>
        <w:pStyle w:val="Akapitzlist"/>
        <w:numPr>
          <w:ilvl w:val="0"/>
          <w:numId w:val="25"/>
        </w:numPr>
        <w:tabs>
          <w:tab w:val="left" w:pos="0"/>
        </w:tabs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Ustalenie wartości służebności następuje na podstawie opinii w postaci operatu szacunkowego sporządzonej przez rzeczoznawcę majątkowego</w:t>
      </w:r>
      <w:r w:rsidR="009769F4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14150F" w:rsidRPr="00730146" w:rsidRDefault="0014150F" w:rsidP="00AD0E81">
      <w:pPr>
        <w:pStyle w:val="Akapitzlist"/>
        <w:numPr>
          <w:ilvl w:val="0"/>
          <w:numId w:val="25"/>
        </w:numPr>
        <w:tabs>
          <w:tab w:val="left" w:pos="0"/>
        </w:tabs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Nieodpłatne obciążenie nieruchomości służebności</w:t>
      </w:r>
      <w:r w:rsidR="00A430B9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ą</w:t>
      </w:r>
      <w:r w:rsidR="00076B29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może nastąpić na rzecz Skarbu Państwa lub jednostki samorządu terytorialnego i wymaga zgody Rady w wypadku, gdy jej wartość przekracza 10.000 </w:t>
      </w:r>
      <w:proofErr w:type="gramStart"/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zł</w:t>
      </w:r>
      <w:proofErr w:type="gramEnd"/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BD375D" w:rsidRPr="00730146" w:rsidRDefault="003C24B0" w:rsidP="008A3B6F">
      <w:pPr>
        <w:pStyle w:val="Akapitzlist"/>
        <w:numPr>
          <w:ilvl w:val="0"/>
          <w:numId w:val="25"/>
        </w:numPr>
        <w:tabs>
          <w:tab w:val="left" w:pos="0"/>
        </w:tabs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Ustanowienie służebno</w:t>
      </w:r>
      <w:r w:rsidR="004560D5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ści na rzecz podmiotów inny</w:t>
      </w:r>
      <w:r w:rsidR="009221DF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ch</w:t>
      </w:r>
      <w:r w:rsidR="008F49FD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niż wskazane w ust. 3</w:t>
      </w:r>
      <w:r w:rsidR="00A430B9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może zostać dokonane</w:t>
      </w:r>
      <w:r w:rsidR="009221DF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wyłącznie</w:t>
      </w: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 wynagrodzeniem</w:t>
      </w:r>
      <w:r w:rsidR="00EC0C8B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 niższym niż wartość tego prawa</w:t>
      </w:r>
      <w:r w:rsidR="0014150F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62278E" w:rsidRPr="00FF5E30" w:rsidRDefault="0062278E" w:rsidP="00BD375D">
      <w:pPr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BD375D" w:rsidRPr="00FF5E30" w:rsidRDefault="00877358" w:rsidP="00AD0E81">
      <w:pPr>
        <w:ind w:left="0" w:firstLine="0"/>
        <w:jc w:val="center"/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</w:pPr>
      <w:r w:rsidRP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5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Zasady </w:t>
      </w:r>
      <w:r w:rsidR="00784F62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oddawania w najem i dzierżawę</w:t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nieruchomości </w:t>
      </w:r>
      <w:r w:rsidR="00AD0E8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na okres dłuższy niż </w:t>
      </w:r>
      <w:r w:rsidR="00634507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3</w:t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lata</w:t>
      </w:r>
      <w:r w:rsidR="00CC7C86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CC7C86" w:rsidRPr="00FF5E30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 xml:space="preserve">oraz ich </w:t>
      </w:r>
      <w:r w:rsid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 xml:space="preserve">oddawania w </w:t>
      </w:r>
      <w:r w:rsidR="00730146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użycze</w:t>
      </w:r>
      <w:r w:rsidR="00784F62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nie</w:t>
      </w:r>
    </w:p>
    <w:p w:rsidR="00AD3F5D" w:rsidRPr="00FF5E30" w:rsidRDefault="00AD3F5D" w:rsidP="00AD3F5D">
      <w:pPr>
        <w:ind w:hanging="453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AD0E81" w:rsidRDefault="00AD3F5D" w:rsidP="00AD0E81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§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6</w:t>
      </w:r>
      <w:r w:rsidR="00AD0E8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AD0E81" w:rsidRPr="00730146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AD0E81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Nieruchomości </w:t>
      </w:r>
      <w:r w:rsidR="007F6DA0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wchodzące w skład zasobu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mogą być wydzierżawiane </w:t>
      </w:r>
      <w:r w:rsidR="00AF183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lub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wynajmowane na czas </w:t>
      </w:r>
      <w:r w:rsidR="00A1243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określony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lub</w:t>
      </w:r>
      <w:r w:rsidR="00A1243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nieokreślony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BD375D" w:rsidRPr="00730146" w:rsidRDefault="00AD0E81" w:rsidP="00AD0E81">
      <w:pPr>
        <w:ind w:left="0" w:firstLine="284"/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2.</w:t>
      </w: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9D6F16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Odd</w:t>
      </w:r>
      <w:r w:rsidR="007F6DA0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anie nieruchomości</w:t>
      </w:r>
      <w:r w:rsidR="00BD375D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najem lub dzierżawę</w:t>
      </w:r>
      <w:r w:rsidR="007E18FE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 czas dłuższy niż </w:t>
      </w:r>
      <w:r w:rsidR="00634507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7E18FE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lata</w:t>
      </w:r>
      <w:r w:rsidR="00BD375D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następuje w drodze przetargu </w:t>
      </w:r>
      <w:r w:rsidR="00D15DAE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lub w formie bezprzetargowej</w:t>
      </w:r>
      <w:r w:rsidR="002C53A7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BD375D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według zasad określonych </w:t>
      </w:r>
      <w:r w:rsidR="00B02577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ustawie</w:t>
      </w:r>
      <w:r w:rsidR="00144A32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rozporządzeniu</w:t>
      </w:r>
      <w:r w:rsidR="00B02577"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i niniejszej uchwale.</w:t>
      </w:r>
    </w:p>
    <w:p w:rsidR="00AF183C" w:rsidRPr="00FF5E30" w:rsidRDefault="00AD0E81" w:rsidP="00AD0E81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Pr="00AD0E81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7E18FE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Zarząd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może odstąpić od obowiązku pr</w:t>
      </w:r>
      <w:r w:rsidR="007E18FE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zetargowego trybu zawarcia umów, o których mowa w ust. 2,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następujących przypadkach: </w:t>
      </w:r>
    </w:p>
    <w:p w:rsidR="00AF183C" w:rsidRPr="00FF5E30" w:rsidRDefault="00D11104" w:rsidP="00E7170E">
      <w:pPr>
        <w:numPr>
          <w:ilvl w:val="0"/>
          <w:numId w:val="23"/>
        </w:numPr>
        <w:tabs>
          <w:tab w:val="left" w:pos="0"/>
        </w:tabs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oddania</w:t>
      </w:r>
      <w:proofErr w:type="gramEnd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najem</w:t>
      </w:r>
      <w:r w:rsidR="00AF183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gruntu pod lokalizację urządzeń oraz tablic reklamowych, </w:t>
      </w:r>
    </w:p>
    <w:p w:rsidR="00AF183C" w:rsidRPr="00FF5E30" w:rsidRDefault="00D11104" w:rsidP="00E7170E">
      <w:pPr>
        <w:numPr>
          <w:ilvl w:val="0"/>
          <w:numId w:val="23"/>
        </w:numPr>
        <w:tabs>
          <w:tab w:val="left" w:pos="0"/>
        </w:tabs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oddania</w:t>
      </w:r>
      <w:proofErr w:type="gramEnd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dzierżawę</w:t>
      </w:r>
      <w:bookmarkStart w:id="3" w:name="_GoBack"/>
      <w:bookmarkEnd w:id="3"/>
      <w:r w:rsidR="00AF183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gruntu z przeznaczeniem na urządzenie zaplecza budowlanego lub lokalizację urządzeń infrastruktury technicznej, </w:t>
      </w:r>
    </w:p>
    <w:p w:rsidR="00AF183C" w:rsidRPr="00FF5E30" w:rsidRDefault="00AF183C" w:rsidP="00E7170E">
      <w:pPr>
        <w:numPr>
          <w:ilvl w:val="0"/>
          <w:numId w:val="23"/>
        </w:numPr>
        <w:tabs>
          <w:tab w:val="left" w:pos="0"/>
        </w:tabs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razie konieczności czasowego zajęcia nieruchomości dla przeprowadzenia robót budowlanych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nieruchomości przyległej, </w:t>
      </w:r>
    </w:p>
    <w:p w:rsidR="00AF183C" w:rsidRPr="00FF5E30" w:rsidRDefault="00AF183C" w:rsidP="00E7170E">
      <w:pPr>
        <w:numPr>
          <w:ilvl w:val="0"/>
          <w:numId w:val="23"/>
        </w:numPr>
        <w:tabs>
          <w:tab w:val="left" w:pos="0"/>
        </w:tabs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przedłużania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czasu trwania umów uprzednio zawartych na grunty wykorzystywane na cele rolne, </w:t>
      </w:r>
    </w:p>
    <w:p w:rsidR="00AF183C" w:rsidRPr="00FF5E30" w:rsidRDefault="00AF183C" w:rsidP="00E7170E">
      <w:pPr>
        <w:numPr>
          <w:ilvl w:val="0"/>
          <w:numId w:val="23"/>
        </w:numPr>
        <w:tabs>
          <w:tab w:val="left" w:pos="0"/>
        </w:tabs>
        <w:ind w:left="0" w:firstLine="426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proofErr w:type="gramStart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zawierania</w:t>
      </w:r>
      <w:proofErr w:type="gramEnd"/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umów z osobami fizycznymi i prawnymi w celu prowadzenia działalności charytatywnej, opiekuńczej, kulturalnej, leczniczej, oświatowej, naukowej, badawczo-rozwojowej, wychowawczej lub sportowo-turystycznej, na cele niezwiązane z działalnością zarobkową.</w:t>
      </w:r>
    </w:p>
    <w:p w:rsidR="00BD375D" w:rsidRPr="00FF5E30" w:rsidRDefault="00BD375D" w:rsidP="00BD375D">
      <w:pPr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62765C" w:rsidRDefault="00B76E89" w:rsidP="0062765C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7</w:t>
      </w:r>
      <w:r w:rsidR="0062765C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62765C" w:rsidRPr="00730146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1.</w:t>
      </w:r>
      <w:r w:rsidR="0062765C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 </w:t>
      </w:r>
      <w:r w:rsidR="0058450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Nieruchomości wchodzące w skład zasobu </w:t>
      </w:r>
      <w:r w:rsidR="00D07A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bez zgody Rady </w:t>
      </w:r>
      <w:r w:rsidR="00FC5F24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mogą być oddawane w użyczenie na czas </w:t>
      </w:r>
      <w:r w:rsidR="00A1243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określony </w:t>
      </w:r>
      <w:r w:rsidR="00C25A9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do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C25A9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</w:t>
      </w:r>
      <w:r w:rsidR="00912E6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</w:p>
    <w:p w:rsidR="0058450D" w:rsidRPr="0062765C" w:rsidRDefault="0062765C" w:rsidP="0062765C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2.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912E6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Wyraża się zgodę na zawieranie kolejnych umów użyczenia</w:t>
      </w:r>
      <w:r w:rsidR="00FB415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 tym samym podmiotem</w:t>
      </w:r>
      <w:r w:rsidR="00912E6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których łącz</w:t>
      </w:r>
      <w:r w:rsidR="00F22E5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ny czas trwania nie przekroczy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912E61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lat.</w:t>
      </w:r>
    </w:p>
    <w:p w:rsidR="003D12EB" w:rsidRPr="00FF5E30" w:rsidRDefault="0062765C" w:rsidP="00E923B5">
      <w:pPr>
        <w:pStyle w:val="Akapitzlist"/>
        <w:ind w:left="0" w:firstLine="284"/>
        <w:rPr>
          <w:lang w:eastAsia="pl-PL"/>
        </w:rPr>
      </w:pPr>
      <w:r w:rsidRPr="0073014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3.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B6B0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Zawarcie kolejnej umowy użyczenia dotyczącej tej samej nieruchomości z tym samym podmiotem </w:t>
      </w:r>
      <w:r w:rsidR="00D07A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czas </w:t>
      </w:r>
      <w:r w:rsidR="00A1243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określony </w:t>
      </w:r>
      <w:r w:rsidR="00BB6B0F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wymaga zgody Rady, o ile </w:t>
      </w:r>
      <w:r w:rsidR="00F31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łączny czas ich trwania przekr</w:t>
      </w:r>
      <w:r w:rsidR="00285D2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acza</w:t>
      </w:r>
      <w:r w:rsidR="00F31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F3140B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lata.</w:t>
      </w:r>
      <w:r w:rsidR="00D07A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Zgody wymaga również zawarcie umowy </w:t>
      </w:r>
      <w:r w:rsidR="0048277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użyczenia </w:t>
      </w:r>
      <w:r w:rsidR="00D07A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czas </w:t>
      </w:r>
      <w:r w:rsidR="00A1243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nieokreślony</w:t>
      </w:r>
      <w:r w:rsidR="00D07A87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1B4C15" w:rsidRDefault="001B4C15" w:rsidP="00A12A5B">
      <w:pPr>
        <w:ind w:left="0" w:firstLine="0"/>
        <w:jc w:val="center"/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</w:pPr>
    </w:p>
    <w:p w:rsidR="00BD375D" w:rsidRPr="00FF5E30" w:rsidRDefault="00486BE2" w:rsidP="00A12A5B">
      <w:pPr>
        <w:ind w:left="0" w:firstLine="0"/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730146"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t>Rozdział 6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Przepisy </w:t>
      </w:r>
      <w:r w:rsidR="00E8180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przejściowe i </w:t>
      </w:r>
      <w:r w:rsidR="00BD375D"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końcowe</w:t>
      </w:r>
    </w:p>
    <w:p w:rsidR="00BD375D" w:rsidRPr="00FF5E30" w:rsidRDefault="00BD375D" w:rsidP="00BD375D">
      <w:pPr>
        <w:jc w:val="center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E81808" w:rsidRDefault="00BD375D" w:rsidP="00A12A5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8</w:t>
      </w:r>
      <w:r w:rsidR="00A12A5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E81808" w:rsidRPr="00E8180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Postępowania w sprawie zbycia nieruchomości </w:t>
      </w:r>
      <w:r w:rsidR="00926507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prowadzone</w:t>
      </w:r>
      <w:r w:rsidR="00E81808" w:rsidRPr="00E81808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na podstawie uchwał podjętych przed dniem wejścia w życie niniejszej uchwały prowadzi się na podstawie przepisów dotychczasowych.</w:t>
      </w:r>
    </w:p>
    <w:p w:rsidR="00E81808" w:rsidRDefault="00E81808" w:rsidP="00A12A5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1B4C15" w:rsidRDefault="001B4C15" w:rsidP="00A12A5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1B4C15" w:rsidRDefault="001B4C15" w:rsidP="00A12A5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1B4C15" w:rsidRDefault="001B4C15" w:rsidP="00A12A5B">
      <w:pPr>
        <w:ind w:left="0" w:firstLine="284"/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</w:pPr>
    </w:p>
    <w:p w:rsidR="00E53BFF" w:rsidRDefault="00E81808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lastRenderedPageBreak/>
        <w:t xml:space="preserve">§ </w:t>
      </w:r>
      <w:r w:rsidR="00C77288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1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9</w:t>
      </w:r>
      <w:r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="00E53BF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Tracą moc uchwały: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60411C" w:rsidRDefault="00C947AC" w:rsidP="0060411C">
      <w:pPr>
        <w:numPr>
          <w:ilvl w:val="0"/>
          <w:numId w:val="42"/>
        </w:numPr>
        <w:ind w:left="0" w:firstLine="425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hyperlink r:id="rId9" w:tgtFrame="_blank" w:history="1">
        <w:r w:rsidR="00144A32" w:rsidRPr="00FF5E30">
          <w:rPr>
            <w:rFonts w:ascii="Arial Narrow" w:eastAsia="Times New Roman" w:hAnsi="Arial Narrow"/>
            <w:sz w:val="20"/>
            <w:szCs w:val="20"/>
            <w:lang w:eastAsia="pl-PL"/>
          </w:rPr>
          <w:t>Nr</w:t>
        </w:r>
      </w:hyperlink>
      <w:r w:rsidR="00144A32" w:rsidRPr="00FF5E30">
        <w:rPr>
          <w:rFonts w:ascii="Arial Narrow" w:hAnsi="Arial Narrow"/>
          <w:sz w:val="20"/>
          <w:szCs w:val="20"/>
        </w:rPr>
        <w:t xml:space="preserve"> XXII/164/2000</w:t>
      </w:r>
      <w:r w:rsidR="00A308AA" w:rsidRPr="00FF5E30">
        <w:rPr>
          <w:rFonts w:ascii="Arial Narrow" w:hAnsi="Arial Narrow"/>
          <w:sz w:val="20"/>
          <w:szCs w:val="20"/>
        </w:rPr>
        <w:t xml:space="preserve"> Rady Powiatu w Nakle nad Notecią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 dnia </w:t>
      </w:r>
      <w:r w:rsidR="00144A3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31 sierpnia 2000 r.</w:t>
      </w:r>
      <w:r w:rsidR="003F656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3F656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 sprawie 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określenia zasad nabywania, zbywania i obciążania nieruchomości gruntowych oraz ich wydzierżawiania lub </w:t>
      </w:r>
      <w:r w:rsidR="00144A3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wynajmowania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 okres dłuższy niż </w:t>
      </w:r>
      <w:r w:rsidR="00144A3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lata</w:t>
      </w:r>
      <w:r w:rsidR="00E53BF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BD375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60411C" w:rsidRDefault="00E53BFF" w:rsidP="0060411C">
      <w:pPr>
        <w:numPr>
          <w:ilvl w:val="0"/>
          <w:numId w:val="42"/>
        </w:numPr>
        <w:ind w:left="0" w:firstLine="425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11409A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Nr XXXIII/263/2001 Rady Powiatu w Nakle nad Notecią z dnia 27 września 2001 r. </w:t>
      </w:r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br/>
        <w:t>w sprawie</w:t>
      </w:r>
      <w:r w:rsidRPr="0011409A"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przyznania pierwszeństwa w nabyciu lokali użytkowych stanowiących garaże albo pomieszczenia gospodarcze ich najemcom lub dzierżawcom</w:t>
      </w:r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 xml:space="preserve"> (Dz. Urz. Woj. Kuj.-Pom. z 2002 r. </w:t>
      </w:r>
      <w:proofErr w:type="gramStart"/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Nr  36, poz</w:t>
      </w:r>
      <w:proofErr w:type="gramEnd"/>
      <w:r>
        <w:rPr>
          <w:rFonts w:ascii="Arial Narrow" w:eastAsia="Times New Roman" w:hAnsi="Arial Narrow"/>
          <w:bCs/>
          <w:color w:val="333333"/>
          <w:sz w:val="20"/>
          <w:szCs w:val="20"/>
          <w:lang w:eastAsia="pl-PL"/>
        </w:rPr>
        <w:t>. 680).</w:t>
      </w:r>
    </w:p>
    <w:p w:rsidR="00BD375D" w:rsidRPr="00FF5E30" w:rsidRDefault="00BD375D" w:rsidP="00A12A5B">
      <w:pPr>
        <w:ind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BD375D" w:rsidRPr="00FF5E30" w:rsidRDefault="00BD375D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20</w:t>
      </w:r>
      <w:r w:rsidR="00A12A5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Wykonanie uchwały powierza się </w:t>
      </w:r>
      <w:r w:rsidR="00144A3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Zarządowi</w:t>
      </w:r>
      <w:r w:rsidR="009E631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Powiatu w Nakle nad Notecią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</w:p>
    <w:p w:rsidR="00BD375D" w:rsidRPr="00FF5E30" w:rsidRDefault="00BD375D" w:rsidP="00A12A5B">
      <w:pPr>
        <w:ind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AD036D" w:rsidRDefault="00BD375D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FF5E30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§ </w:t>
      </w:r>
      <w:r w:rsidR="005C2DBF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>21</w:t>
      </w:r>
      <w:r w:rsidR="00A12A5B">
        <w:rPr>
          <w:rFonts w:ascii="Arial Narrow" w:eastAsia="Times New Roman" w:hAnsi="Arial Narrow"/>
          <w:b/>
          <w:bCs/>
          <w:color w:val="333333"/>
          <w:sz w:val="20"/>
          <w:szCs w:val="20"/>
          <w:lang w:eastAsia="pl-PL"/>
        </w:rPr>
        <w:t xml:space="preserve">.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Uchwała wchodzi w życie po upływie 14 dni od </w:t>
      </w:r>
      <w:r w:rsidR="003F656D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dnia jej ogłoszenia w Dzienniku 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U</w:t>
      </w:r>
      <w:r w:rsidR="00144A32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rzędowym Województwa Kujawsko-</w:t>
      </w:r>
      <w:r w:rsidR="00A12A5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Pomorskiego.</w:t>
      </w:r>
      <w:r w:rsidR="00C83E4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C83E48" w:rsidRDefault="00C83E48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634507" w:rsidRDefault="00634507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634507" w:rsidRDefault="00634507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F96E3A" w:rsidRDefault="00F96E3A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730146">
      <w:pPr>
        <w:ind w:left="0" w:firstLine="284"/>
        <w:jc w:val="right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730146" w:rsidRDefault="00730146" w:rsidP="00730146">
      <w:pPr>
        <w:ind w:left="0" w:firstLine="284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Pr="00BA70F8">
        <w:rPr>
          <w:rFonts w:ascii="Arial Narrow" w:hAnsi="Arial Narrow" w:cs="Arial"/>
          <w:b/>
          <w:sz w:val="20"/>
          <w:szCs w:val="20"/>
        </w:rPr>
        <w:t>PRZEWODNICZĄCY</w:t>
      </w:r>
      <w:r>
        <w:rPr>
          <w:rFonts w:ascii="Arial Narrow" w:hAnsi="Arial Narrow" w:cs="Arial"/>
          <w:b/>
          <w:sz w:val="20"/>
          <w:szCs w:val="20"/>
        </w:rPr>
        <w:t xml:space="preserve"> R</w:t>
      </w:r>
      <w:r w:rsidRPr="00BA70F8">
        <w:rPr>
          <w:rFonts w:ascii="Arial Narrow" w:hAnsi="Arial Narrow" w:cs="Arial"/>
          <w:b/>
          <w:sz w:val="20"/>
          <w:szCs w:val="20"/>
        </w:rPr>
        <w:t>ADY</w:t>
      </w:r>
    </w:p>
    <w:p w:rsidR="00487C35" w:rsidRDefault="00730146" w:rsidP="00730146">
      <w:pPr>
        <w:ind w:left="0" w:firstLine="284"/>
        <w:jc w:val="left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 w:rsidRPr="00BA70F8">
        <w:rPr>
          <w:rFonts w:ascii="Arial Narrow" w:hAnsi="Arial Narrow" w:cs="Arial"/>
          <w:b/>
          <w:sz w:val="20"/>
          <w:szCs w:val="20"/>
        </w:rPr>
        <w:br/>
        <w:t xml:space="preserve">                                                            </w:t>
      </w:r>
      <w:r w:rsidRPr="00BA70F8">
        <w:rPr>
          <w:rFonts w:ascii="Arial Narrow" w:hAnsi="Arial Narrow" w:cs="Arial"/>
          <w:b/>
          <w:sz w:val="20"/>
          <w:szCs w:val="20"/>
        </w:rPr>
        <w:br/>
        <w:t xml:space="preserve">                                                                 </w:t>
      </w:r>
      <w:r w:rsidRPr="00BA70F8">
        <w:rPr>
          <w:rFonts w:ascii="Arial Narrow" w:hAnsi="Arial Narrow" w:cs="Arial"/>
          <w:b/>
          <w:sz w:val="20"/>
          <w:szCs w:val="20"/>
        </w:rPr>
        <w:tab/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ARTUR MICHALAK</w:t>
      </w: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8A3B6F" w:rsidRDefault="008A3B6F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DD7CA0" w:rsidRDefault="00DD7CA0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1B4C15" w:rsidRDefault="001B4C1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87C35" w:rsidRDefault="00487C35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455FA8" w:rsidRDefault="00455FA8" w:rsidP="00A12A5B">
      <w:pPr>
        <w:ind w:left="0" w:firstLine="284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</w:p>
    <w:p w:rsidR="00C83E48" w:rsidRDefault="00C83E48" w:rsidP="00C83E48">
      <w:pPr>
        <w:ind w:left="0" w:firstLine="0"/>
        <w:jc w:val="center"/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  <w:lastRenderedPageBreak/>
        <w:t>Uzasadnienie:</w:t>
      </w:r>
    </w:p>
    <w:p w:rsidR="00C83E48" w:rsidRDefault="00C83E48" w:rsidP="00C83E48">
      <w:pPr>
        <w:ind w:left="0" w:firstLine="0"/>
        <w:jc w:val="center"/>
        <w:rPr>
          <w:rFonts w:ascii="Arial Narrow" w:eastAsia="Times New Roman" w:hAnsi="Arial Narrow"/>
          <w:b/>
          <w:color w:val="333333"/>
          <w:sz w:val="20"/>
          <w:szCs w:val="20"/>
          <w:lang w:eastAsia="pl-PL"/>
        </w:rPr>
      </w:pPr>
    </w:p>
    <w:p w:rsidR="00C83E48" w:rsidRDefault="00C83E48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 xml:space="preserve">Niniejsza uchwała wprowadza regulacje w zakresie gospodarowania zasobem nieruchomości Powiatu Nakielskiego, zastępując </w:t>
      </w:r>
      <w:r w:rsidR="008369D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wymagające aktualizacji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przepisy uchwały </w:t>
      </w:r>
      <w:hyperlink r:id="rId10" w:tgtFrame="_blank" w:history="1">
        <w:r w:rsidRPr="00FF5E30">
          <w:rPr>
            <w:rFonts w:ascii="Arial Narrow" w:eastAsia="Times New Roman" w:hAnsi="Arial Narrow"/>
            <w:sz w:val="20"/>
            <w:szCs w:val="20"/>
            <w:lang w:eastAsia="pl-PL"/>
          </w:rPr>
          <w:t>Nr</w:t>
        </w:r>
      </w:hyperlink>
      <w:r w:rsidRPr="00FF5E30">
        <w:rPr>
          <w:rFonts w:ascii="Arial Narrow" w:hAnsi="Arial Narrow"/>
          <w:sz w:val="20"/>
          <w:szCs w:val="20"/>
        </w:rPr>
        <w:t xml:space="preserve"> XXII/164/2000 Rady Powiatu w Nakle </w:t>
      </w:r>
      <w:r w:rsidR="00DD7CA0">
        <w:rPr>
          <w:rFonts w:ascii="Arial Narrow" w:hAnsi="Arial Narrow"/>
          <w:sz w:val="20"/>
          <w:szCs w:val="20"/>
        </w:rPr>
        <w:br/>
      </w:r>
      <w:r w:rsidRPr="00FF5E30">
        <w:rPr>
          <w:rFonts w:ascii="Arial Narrow" w:hAnsi="Arial Narrow"/>
          <w:sz w:val="20"/>
          <w:szCs w:val="20"/>
        </w:rPr>
        <w:t>nad Notecią</w:t>
      </w:r>
      <w:r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 dnia 31 sierpnia 2000 r. w sprawie określenia zasad nabywania, zbywania i obciążania nieruchomości gruntowych oraz ich wydzierżawiania lub wynajmowania na okres dłuższy niż 3 lata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  <w:r w:rsidR="0043521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</w:p>
    <w:p w:rsidR="001F4A92" w:rsidRDefault="00C83E48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>Konieczność przyjęcia nowej uchwały wynika w szczególności z</w:t>
      </w:r>
      <w:r w:rsidR="003431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wielokrotnych nowelizacji ustawy </w:t>
      </w:r>
      <w:r w:rsidR="003431A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 dnia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3431A5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21 sierpnia 1997 r. o gospodarce nieruchomościami</w:t>
      </w:r>
      <w:r w:rsidR="003431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jak również z potrzeby uzupełnienia luk prawnych zidentyfikowanych w toku stosowania dotychczasowej uchwały w tej materii. </w:t>
      </w:r>
    </w:p>
    <w:p w:rsidR="00C83E48" w:rsidRDefault="001F4A92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</w:r>
      <w:r w:rsidR="0043521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związku z wejściem w życie z dniem 1 stycznia 2012 r. nowelizacji przepisów o ogłaszaniu aktów normatywnych</w:t>
      </w:r>
      <w:r w:rsidR="00DA52E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43521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dotyczących ogłaszania tekstów jednolitych, konieczne byłoby ogłoszenie tekstu jednolitego dotychczasowej uchwały, co można by uznać </w:t>
      </w:r>
      <w:r w:rsidR="00DA52E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 bezcelowe.</w:t>
      </w:r>
      <w:r w:rsidR="0043521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3431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Ponadto, mając na uwadze stan finansów publicznych, istotne jest uchwalenie</w:t>
      </w:r>
      <w:r w:rsidR="004071E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regulacji</w:t>
      </w:r>
      <w:r w:rsidR="003431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4071E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pozwalających</w:t>
      </w:r>
      <w:r w:rsidR="003431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na </w:t>
      </w:r>
      <w:r w:rsidR="00E51C5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ściślejszą niż dotychczas</w:t>
      </w:r>
      <w:r w:rsidR="004071E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kontrolę wydatków i dochodów, opartych na fakultatywnych upoważnieniach ustawowych.</w:t>
      </w:r>
    </w:p>
    <w:p w:rsidR="00F677F6" w:rsidRDefault="00F677F6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>W dotychczas obowiązujących przepisach o zasadach ogólnych gospodarowania nieruchomościami gruntowymi istniały regulacje z zakresu reprezentacji Powiatu Nakielskiego</w:t>
      </w:r>
      <w:r w:rsidR="00E40C2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przez Zarząd Powiatu w Nakle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E40C2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nad Notecią. Obecnie pominięto je ze względu na bezcelowość powielania w akcie prawa miejscowego regulacji </w:t>
      </w:r>
      <w:r w:rsidR="00773DF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wyższego rzędu, które w żaden sposób nie dodają uchwale przejrzystości</w:t>
      </w:r>
      <w:r w:rsidR="00E40C2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Ponadto uchwalono bardziej precyzyjne przepisy </w:t>
      </w:r>
      <w:r w:rsidR="0001382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dotyczące wypadków gospodarowania nieruchomościami, w których wymagana jest odrębna zgoda Rady Powiatu w Nakle nad Notecią.</w:t>
      </w:r>
      <w:r w:rsidR="00773DF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Zrezygnowano z ich </w:t>
      </w:r>
      <w:r w:rsidR="00A97C4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zamkniętego </w:t>
      </w:r>
      <w:r w:rsidR="00773DF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katalogu na rzecz </w:t>
      </w:r>
      <w:r w:rsidR="00A97C4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zamieszczenia w poszczególnych rozdziałach uchwały.</w:t>
      </w:r>
      <w:r w:rsidR="00A3433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 objęto uchwałą zagadnienia trwałego zarządu, uznając, że regulacje ustawowe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A3433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są wyczerpujące.</w:t>
      </w:r>
    </w:p>
    <w:p w:rsidR="004071E4" w:rsidRDefault="00E40C27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</w:r>
      <w:r w:rsidR="00F677F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zasadach nabywania nieruchomości do zasobu</w:t>
      </w:r>
      <w:r w:rsidR="00A97C4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E966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dodano upoważnienie dla Zarządu do występowania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E966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do właściwego wojewody o przekazanie mienia Skarbu Państwa w trybie ustawy </w:t>
      </w:r>
      <w:r w:rsidR="00E9665C" w:rsidRPr="00FF5E3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 dnia 13 października 1998 r. Przepisy wprowadzające ustawy reformujące administrację publiczną</w:t>
      </w:r>
      <w:r w:rsidR="00E9665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</w:t>
      </w:r>
      <w:r w:rsidR="0037424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Wprowadzono nadrzędną zasadę, w </w:t>
      </w:r>
      <w:proofErr w:type="gramStart"/>
      <w:r w:rsidR="0037424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myśl której</w:t>
      </w:r>
      <w:proofErr w:type="gramEnd"/>
      <w:r w:rsidR="00374244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Zarząd może swobodnie nabywać </w:t>
      </w:r>
      <w:r w:rsidR="00AF437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nieruchomości </w:t>
      </w:r>
      <w:r w:rsidR="00207D5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za kwotę nieprzekraczającą określonego limitu,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207D5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o ile zastosuje się do regulacji dotyczących trybu </w:t>
      </w:r>
      <w:r w:rsidR="00AF437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określania ich wartości.</w:t>
      </w:r>
      <w:r w:rsidR="00207D5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 ten sposób Rada wyraża zgodę generalną na nabywanie nieruchomości w granicach i trybie określonym uchwałą</w:t>
      </w:r>
      <w:r w:rsidR="00AF437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jednak ich</w:t>
      </w:r>
      <w:r w:rsidR="00207D51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przekroczenie wymaga zgody indywidualnej.</w:t>
      </w:r>
      <w:r w:rsidR="00AF437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AF437A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wypadku nieodpłatnego nabywania nieruchomości Rada przenosi na Zarząd ciężar odpowiedzialności za zbadanie skutków finansowych tej czynnoś</w:t>
      </w:r>
      <w:r w:rsidR="00F71FA5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ci</w:t>
      </w:r>
      <w:r w:rsidR="007366B9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wskazując </w:t>
      </w:r>
      <w:r w:rsidR="000C5954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brak zbędnych obciążeń </w:t>
      </w:r>
      <w:proofErr w:type="gramStart"/>
      <w:r w:rsidR="000C5954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budżetowych jako</w:t>
      </w:r>
      <w:proofErr w:type="gramEnd"/>
      <w:r w:rsidR="007366B9" w:rsidRPr="00DD7CA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jedyny warunek zgody generalnej.</w:t>
      </w:r>
    </w:p>
    <w:p w:rsidR="00DF210D" w:rsidRDefault="00DF210D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</w:r>
      <w:r w:rsidR="00482BD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Podstawowym warunkiem zgody generalnej na zbycie nieruchomości z zasobu jest jej wartość, która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482BD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 może </w:t>
      </w:r>
      <w:r w:rsidR="004E3DF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przekraczać 10</w:t>
      </w:r>
      <w:r w:rsidR="00482BD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0.000 </w:t>
      </w:r>
      <w:proofErr w:type="gramStart"/>
      <w:r w:rsidR="00482BD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zł</w:t>
      </w:r>
      <w:proofErr w:type="gramEnd"/>
      <w:r w:rsidR="00482BD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 Wartość ustala się na zasadach ustawowych.</w:t>
      </w:r>
      <w:r w:rsidR="00A557D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85162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</w:t>
      </w:r>
      <w:r w:rsidR="00A557DC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gody wymaga zbycie nieodpłatne lub poniżej wartości rynkowej</w:t>
      </w:r>
      <w:r w:rsidR="0085162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, za wyjątkiem </w:t>
      </w:r>
      <w:r w:rsidR="00C40DF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zbycia z zastosowaniem </w:t>
      </w:r>
      <w:r w:rsidR="0085162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bonifikat.</w:t>
      </w:r>
      <w:r w:rsidR="00A72F8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Jednocześnie pominięto dotychczas obowiązującą zasadę oddawania nieruchomości w użytkowanie </w:t>
      </w:r>
      <w:proofErr w:type="gramStart"/>
      <w:r w:rsidR="00A72F8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wieczyste jako</w:t>
      </w:r>
      <w:proofErr w:type="gramEnd"/>
      <w:r w:rsidR="00A72F8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podstawową formę zbywania nieruchomości.</w:t>
      </w:r>
    </w:p>
    <w:p w:rsidR="00851623" w:rsidRDefault="00851623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>Wykorzystano fakultatywne upoważnienia ustawowe w zakresie udzielania pierwszeństwa w nabywaniu nieruchomości, a także zbywania nieruchomości w drodze bezprzetargowej. W</w:t>
      </w:r>
      <w:r w:rsidR="00F5511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skazano tym samym przypadki obrotu nieruchomościami, w</w:t>
      </w:r>
      <w:r w:rsidR="008D53A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których</w:t>
      </w:r>
      <w:r w:rsidR="00F5511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zbędne jest podejmowanie indywidualnych uchwał Rady</w:t>
      </w:r>
      <w:r w:rsidR="008D53A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– dotychczas niemal zawsze przynosiły one skutek w postaci zgody</w:t>
      </w:r>
      <w:r w:rsidR="00FC509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–</w:t>
      </w:r>
      <w:r w:rsidR="00F5511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 naruszając jednocześnie ogólnych zasad dotyczących warunków zbywania nieruchomości i wychodząc naprzeciw oczekiwaniom społecznym.</w:t>
      </w:r>
    </w:p>
    <w:p w:rsidR="00FC5092" w:rsidRDefault="00FC5092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 xml:space="preserve">Stanowiąc przepisy w sprawie udzielania bonifikat nabywcom nieruchomości Rada zrezygnowała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 większości możliwych do udzielenia na podstawie upoważnień ustawowych, uznając je za zbędne z uwagi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</w:t>
      </w:r>
      <w:r w:rsidR="0079663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charakter nieruchomości znajdujących się obecnie w zasobie. Ograniczono się do upoważnienia Zarządu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79663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do udzielania bonifikat w przypadku sprzedaży lokali mieszkalnych, wprowadzając kryteria formy płatności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79663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oraz dochodowe.</w:t>
      </w:r>
    </w:p>
    <w:p w:rsidR="00796632" w:rsidRDefault="00796632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</w:r>
      <w:r w:rsidR="0010371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Wprowadzono regulację dotyczącą sprzedaży nieruchomości wpisanych do rejestru zabytków opierając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10371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ją o kryterium podmiotowe: osób prawnych i fizycznych.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Zmieniono </w:t>
      </w:r>
      <w:r w:rsidR="0010371D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ponadto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dotychczas stosowaną </w:t>
      </w:r>
      <w:r w:rsidR="004048B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przy sprzedaży ratalnej stawkę procentową równą stopie redyskonta weksli i wprowadzono statystycznie wyższą stawkę równą stopie lombardowej.</w:t>
      </w:r>
    </w:p>
    <w:p w:rsidR="00072A49" w:rsidRDefault="00CF160E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>W r</w:t>
      </w:r>
      <w:r w:rsidR="004F768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ozdzia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le</w:t>
      </w:r>
      <w:r w:rsidR="004F768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dotyczący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m</w:t>
      </w:r>
      <w:r w:rsidR="004F7686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zasad obciążania nieruchomości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uwzględnione zostały zmiany Kodeksu cywilnego wprowadzające do systemu prawnego instytucję służebności przesyłu. Mając na uwadze konieczność udziel</w:t>
      </w:r>
      <w:r w:rsidR="00926B6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enia zgody na zawarcie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umowy w zakresie ustanowienia ograniczonych </w:t>
      </w:r>
      <w:proofErr w:type="gramStart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praw</w:t>
      </w:r>
      <w:proofErr w:type="gramEnd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rzeczowych Rada wprowadziła generalną zgodę na</w:t>
      </w:r>
      <w:r w:rsidR="00926B6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nieodpłatne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ustanawianie przez Zarząd służebności </w:t>
      </w:r>
      <w:r w:rsidR="00EC0C8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na rzecz Skarbu Państwa lub jednostki samorządu terytorialnego,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o</w:t>
      </w:r>
      <w:r w:rsidR="00EC0C8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ile jej wartość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</w:t>
      </w:r>
      <w:r w:rsidR="00EC0C8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przekracza 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10.000 </w:t>
      </w:r>
      <w:proofErr w:type="gramStart"/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zł</w:t>
      </w:r>
      <w:proofErr w:type="gramEnd"/>
      <w:r w:rsidR="00EC0C8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. W wypadku wartości wyższej wymagana jest zgoda indywidualna. Z kolei obciążenie nieruchomości na rzecz </w:t>
      </w:r>
      <w:r w:rsidR="005C2DB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innych podmiotów</w:t>
      </w:r>
      <w:r w:rsidR="00EC0C8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może nastąpić wyłącznie za stosownym wynagrodzeniem.</w:t>
      </w:r>
      <w:r w:rsidR="00D117A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Dotychczas brak było w uchwale regulacji dotyczących ostatniego zagadnienia.</w:t>
      </w:r>
    </w:p>
    <w:p w:rsidR="00140D5C" w:rsidRDefault="00140D5C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 xml:space="preserve">Rada, w ramach upoważnienia ustawowego, ustanowiła zgodę na odstąpienie od obowiązku przetargowego trybu </w:t>
      </w:r>
      <w:r w:rsidR="00D051B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zawarcia umów dzierżawy i najmu</w:t>
      </w:r>
      <w:r w:rsidR="006C534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według kryterium celu, na jaki nieruchomość jest oddawana, w szczególności w wypadkach krótkotrwałego zajęcia nieruchomości oraz przeznaczenia jej na enumeratywnie wymienione cele publiczne.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Ogólny wymóg przeprowadzenia przetargu stosuje się zarówno do umów dłuższych </w:t>
      </w:r>
      <w:r w:rsidR="00D15DAE">
        <w:rPr>
          <w:rFonts w:ascii="Arial Narrow" w:eastAsia="Times New Roman" w:hAnsi="Arial Narrow"/>
          <w:color w:val="333333"/>
          <w:sz w:val="20"/>
          <w:szCs w:val="20"/>
          <w:lang w:eastAsia="pl-PL"/>
        </w:rPr>
        <w:br/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lastRenderedPageBreak/>
        <w:t xml:space="preserve">niż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lata, wypadków</w:t>
      </w:r>
      <w:r w:rsidR="004E3DF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gdy po umowie zawartej na czas określony do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 zawiera się umowę z tym samym podmiotem dla tej samej nieruchomości oraz dla umów zawieranych na czas </w:t>
      </w:r>
      <w:r w:rsidR="00B4640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nieokreślony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  <w:r w:rsidR="00FD688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Celem takich regulacji jest zapewnienie możliwie stabilnego obrotu prawnego w </w:t>
      </w:r>
      <w:proofErr w:type="gramStart"/>
      <w:r w:rsidR="00FD688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ramach którego</w:t>
      </w:r>
      <w:proofErr w:type="gramEnd"/>
      <w:r w:rsidR="00FD688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zawierane będą umowy na możliwie długi okres </w:t>
      </w:r>
      <w:r w:rsidR="002055DB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dla uniknięcia wielokrotnego przeprowadzania przetargów.</w:t>
      </w:r>
    </w:p>
    <w:p w:rsidR="00F91B3E" w:rsidRDefault="00F91B3E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 xml:space="preserve">Zasady dotyczące umów użyczenia opierają się na generalnej zgodzie Rady na oddawanie nieruchomości w użyczenie na okres do </w:t>
      </w:r>
      <w:r w:rsidR="00634507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3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lat, niezależnie od ilości umów zawa</w:t>
      </w:r>
      <w:r w:rsidR="00A27695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rtych z danym podmiotem dla tej samej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nieruchomości. </w:t>
      </w:r>
      <w:r w:rsidR="0001586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Jednocześnie indywidualnej zgody wymaga zawarcie umowy na czas dłuższy, a także na czas nieokreślony. Przepisy poprzedniej uchwały dopuszczały oddawanie nieruchomości przez Zarząd w najem, dzierżawę i użyczenie bez określania kryteriów, które konieczne są do wystąpienia o zgodę do Rady, a tym samym </w:t>
      </w:r>
      <w:r w:rsidR="00926B6A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niezbędna była niemal każdorazowa zgoda Rady</w:t>
      </w:r>
      <w:r w:rsidR="00015860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.</w:t>
      </w:r>
    </w:p>
    <w:p w:rsidR="003431A5" w:rsidRDefault="003431A5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</w:r>
      <w:r w:rsidR="00A34338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Nie zamieszczono </w:t>
      </w:r>
      <w:r w:rsidR="00A4748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w przeciwieństwie do poprzedniej uchwały regulacji dotyczących klauzul zamieszczanych we wszelkich umowach</w:t>
      </w:r>
      <w:r w:rsidR="00A8446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z zakresu gospodarowania zasobem</w:t>
      </w:r>
      <w:r w:rsidR="00A4748F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, uznając tę materię za wyłączną kompetencję Zarządu.</w:t>
      </w:r>
    </w:p>
    <w:p w:rsidR="005A778F" w:rsidRPr="00C83E48" w:rsidRDefault="005A778F" w:rsidP="00C83E48">
      <w:pPr>
        <w:ind w:left="0" w:firstLine="0"/>
        <w:rPr>
          <w:rFonts w:ascii="Arial Narrow" w:eastAsia="Times New Roman" w:hAnsi="Arial Narrow"/>
          <w:color w:val="333333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ab/>
        <w:t>Mając na uwadze powyższe</w:t>
      </w:r>
      <w:r w:rsidR="007B7AE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</w:t>
      </w:r>
      <w:r w:rsidR="00B44BE3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R</w:t>
      </w:r>
      <w:r w:rsidR="007B7AE2">
        <w:rPr>
          <w:rFonts w:ascii="Arial Narrow" w:eastAsia="Times New Roman" w:hAnsi="Arial Narrow"/>
          <w:color w:val="333333"/>
          <w:sz w:val="20"/>
          <w:szCs w:val="20"/>
          <w:lang w:eastAsia="pl-PL"/>
        </w:rPr>
        <w:t>ada uznała, że</w:t>
      </w:r>
      <w:r>
        <w:rPr>
          <w:rFonts w:ascii="Arial Narrow" w:eastAsia="Times New Roman" w:hAnsi="Arial Narrow"/>
          <w:color w:val="333333"/>
          <w:sz w:val="20"/>
          <w:szCs w:val="20"/>
          <w:lang w:eastAsia="pl-PL"/>
        </w:rPr>
        <w:t xml:space="preserve"> uchwalenie niniejszej uchwały jest w pełni uzasadnione.</w:t>
      </w:r>
    </w:p>
    <w:sectPr w:rsidR="005A778F" w:rsidRPr="00C83E48" w:rsidSect="00FF5E30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EE" w:rsidRDefault="000A0AEE" w:rsidP="000C5954">
      <w:r>
        <w:separator/>
      </w:r>
    </w:p>
  </w:endnote>
  <w:endnote w:type="continuationSeparator" w:id="0">
    <w:p w:rsidR="000A0AEE" w:rsidRDefault="000A0AEE" w:rsidP="000C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EE" w:rsidRDefault="000A0AEE" w:rsidP="000C5954">
      <w:r>
        <w:separator/>
      </w:r>
    </w:p>
  </w:footnote>
  <w:footnote w:type="continuationSeparator" w:id="0">
    <w:p w:rsidR="000A0AEE" w:rsidRDefault="000A0AEE" w:rsidP="000C5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6FB"/>
    <w:multiLevelType w:val="hybridMultilevel"/>
    <w:tmpl w:val="0CDC9268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FCB"/>
    <w:multiLevelType w:val="hybridMultilevel"/>
    <w:tmpl w:val="21701720"/>
    <w:lvl w:ilvl="0" w:tplc="750A9182">
      <w:start w:val="1"/>
      <w:numFmt w:val="decimal"/>
      <w:lvlText w:val="%1."/>
      <w:lvlJc w:val="left"/>
      <w:pPr>
        <w:ind w:left="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0C747F82"/>
    <w:multiLevelType w:val="hybridMultilevel"/>
    <w:tmpl w:val="E396B04C"/>
    <w:lvl w:ilvl="0" w:tplc="8C7625CC">
      <w:start w:val="1"/>
      <w:numFmt w:val="decimal"/>
      <w:lvlText w:val="%1)"/>
      <w:lvlJc w:val="left"/>
      <w:pPr>
        <w:ind w:left="10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DA810B4"/>
    <w:multiLevelType w:val="hybridMultilevel"/>
    <w:tmpl w:val="A198BC4C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86D72"/>
    <w:multiLevelType w:val="hybridMultilevel"/>
    <w:tmpl w:val="016260BE"/>
    <w:lvl w:ilvl="0" w:tplc="BB00A4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94C09"/>
    <w:multiLevelType w:val="hybridMultilevel"/>
    <w:tmpl w:val="13421E30"/>
    <w:lvl w:ilvl="0" w:tplc="4EEE7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536F2"/>
    <w:multiLevelType w:val="hybridMultilevel"/>
    <w:tmpl w:val="2FD42008"/>
    <w:lvl w:ilvl="0" w:tplc="8C7625CC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2F73F17"/>
    <w:multiLevelType w:val="hybridMultilevel"/>
    <w:tmpl w:val="33D0027A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C07B1"/>
    <w:multiLevelType w:val="hybridMultilevel"/>
    <w:tmpl w:val="9830F0B8"/>
    <w:lvl w:ilvl="0" w:tplc="6764EED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</w:rPr>
    </w:lvl>
    <w:lvl w:ilvl="1" w:tplc="72E2B76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73A41"/>
    <w:multiLevelType w:val="hybridMultilevel"/>
    <w:tmpl w:val="B3EC1338"/>
    <w:lvl w:ilvl="0" w:tplc="97A044E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C97DAD"/>
    <w:multiLevelType w:val="hybridMultilevel"/>
    <w:tmpl w:val="62D88D52"/>
    <w:lvl w:ilvl="0" w:tplc="A3CA2EA8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712060"/>
    <w:multiLevelType w:val="hybridMultilevel"/>
    <w:tmpl w:val="917A9918"/>
    <w:lvl w:ilvl="0" w:tplc="D6C4C6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F19FB"/>
    <w:multiLevelType w:val="hybridMultilevel"/>
    <w:tmpl w:val="C826CE1C"/>
    <w:lvl w:ilvl="0" w:tplc="BB00A45E">
      <w:start w:val="1"/>
      <w:numFmt w:val="decimal"/>
      <w:lvlText w:val="%1."/>
      <w:lvlJc w:val="left"/>
      <w:pPr>
        <w:ind w:left="780" w:hanging="4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F1E71"/>
    <w:multiLevelType w:val="hybridMultilevel"/>
    <w:tmpl w:val="59380BC2"/>
    <w:lvl w:ilvl="0" w:tplc="67209E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5923"/>
    <w:multiLevelType w:val="hybridMultilevel"/>
    <w:tmpl w:val="DD745A78"/>
    <w:lvl w:ilvl="0" w:tplc="BB00A45E">
      <w:start w:val="1"/>
      <w:numFmt w:val="decimal"/>
      <w:lvlText w:val="%1."/>
      <w:lvlJc w:val="left"/>
      <w:pPr>
        <w:ind w:left="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2AEB3067"/>
    <w:multiLevelType w:val="hybridMultilevel"/>
    <w:tmpl w:val="5E822888"/>
    <w:lvl w:ilvl="0" w:tplc="BB00A45E">
      <w:start w:val="1"/>
      <w:numFmt w:val="decimal"/>
      <w:lvlText w:val="%1."/>
      <w:lvlJc w:val="left"/>
      <w:pPr>
        <w:ind w:left="780" w:hanging="4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20588"/>
    <w:multiLevelType w:val="hybridMultilevel"/>
    <w:tmpl w:val="B18008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2CD102F4"/>
    <w:multiLevelType w:val="hybridMultilevel"/>
    <w:tmpl w:val="AB126A22"/>
    <w:lvl w:ilvl="0" w:tplc="63BC89C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21C9D"/>
    <w:multiLevelType w:val="hybridMultilevel"/>
    <w:tmpl w:val="7FC061D8"/>
    <w:lvl w:ilvl="0" w:tplc="6A4C7F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4531D95"/>
    <w:multiLevelType w:val="hybridMultilevel"/>
    <w:tmpl w:val="138EB010"/>
    <w:lvl w:ilvl="0" w:tplc="8F88E6A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3DA35C61"/>
    <w:multiLevelType w:val="hybridMultilevel"/>
    <w:tmpl w:val="A450F992"/>
    <w:lvl w:ilvl="0" w:tplc="5B287A6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79D6"/>
    <w:multiLevelType w:val="hybridMultilevel"/>
    <w:tmpl w:val="A40AA4AA"/>
    <w:lvl w:ilvl="0" w:tplc="1EAE4B9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C564B06"/>
    <w:multiLevelType w:val="hybridMultilevel"/>
    <w:tmpl w:val="151C5BFC"/>
    <w:lvl w:ilvl="0" w:tplc="E468F4D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513763DA"/>
    <w:multiLevelType w:val="hybridMultilevel"/>
    <w:tmpl w:val="FD9E5F64"/>
    <w:lvl w:ilvl="0" w:tplc="BB00A45E">
      <w:start w:val="1"/>
      <w:numFmt w:val="decimal"/>
      <w:lvlText w:val="%1."/>
      <w:lvlJc w:val="left"/>
      <w:pPr>
        <w:ind w:left="6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53F0B91"/>
    <w:multiLevelType w:val="hybridMultilevel"/>
    <w:tmpl w:val="EDF8C926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6C05"/>
    <w:multiLevelType w:val="hybridMultilevel"/>
    <w:tmpl w:val="B0F4F718"/>
    <w:lvl w:ilvl="0" w:tplc="FB8CB8A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7E542F1"/>
    <w:multiLevelType w:val="hybridMultilevel"/>
    <w:tmpl w:val="D35C0202"/>
    <w:lvl w:ilvl="0" w:tplc="AFB2F370">
      <w:start w:val="1"/>
      <w:numFmt w:val="decimal"/>
      <w:lvlText w:val="%1."/>
      <w:lvlJc w:val="left"/>
      <w:pPr>
        <w:ind w:left="6" w:firstLine="51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58546235"/>
    <w:multiLevelType w:val="hybridMultilevel"/>
    <w:tmpl w:val="11BA7024"/>
    <w:lvl w:ilvl="0" w:tplc="8D521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21555"/>
    <w:multiLevelType w:val="hybridMultilevel"/>
    <w:tmpl w:val="93327AFA"/>
    <w:lvl w:ilvl="0" w:tplc="9216D4E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5F4A7677"/>
    <w:multiLevelType w:val="hybridMultilevel"/>
    <w:tmpl w:val="425E7C1C"/>
    <w:lvl w:ilvl="0" w:tplc="2120133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EC3D16"/>
    <w:multiLevelType w:val="hybridMultilevel"/>
    <w:tmpl w:val="10C814F2"/>
    <w:lvl w:ilvl="0" w:tplc="0E46DCF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B55B5"/>
    <w:multiLevelType w:val="hybridMultilevel"/>
    <w:tmpl w:val="EF202132"/>
    <w:lvl w:ilvl="0" w:tplc="E9C4B13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A3A0BE8"/>
    <w:multiLevelType w:val="hybridMultilevel"/>
    <w:tmpl w:val="F316475C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27ED8"/>
    <w:multiLevelType w:val="hybridMultilevel"/>
    <w:tmpl w:val="E21029F4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D57E9"/>
    <w:multiLevelType w:val="hybridMultilevel"/>
    <w:tmpl w:val="A53A4D0E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A24CBE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F13C8"/>
    <w:multiLevelType w:val="hybridMultilevel"/>
    <w:tmpl w:val="3F7E5696"/>
    <w:lvl w:ilvl="0" w:tplc="559A661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77F95B2C"/>
    <w:multiLevelType w:val="hybridMultilevel"/>
    <w:tmpl w:val="E8E2EA34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402AD"/>
    <w:multiLevelType w:val="hybridMultilevel"/>
    <w:tmpl w:val="E9283280"/>
    <w:lvl w:ilvl="0" w:tplc="A68025F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C19183D"/>
    <w:multiLevelType w:val="hybridMultilevel"/>
    <w:tmpl w:val="494696B0"/>
    <w:lvl w:ilvl="0" w:tplc="BB00A45E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>
    <w:nsid w:val="7CF87C32"/>
    <w:multiLevelType w:val="hybridMultilevel"/>
    <w:tmpl w:val="D0EC71F8"/>
    <w:lvl w:ilvl="0" w:tplc="BB00A4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E1485"/>
    <w:multiLevelType w:val="hybridMultilevel"/>
    <w:tmpl w:val="EC30999E"/>
    <w:lvl w:ilvl="0" w:tplc="F4D64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FE261EA"/>
    <w:multiLevelType w:val="hybridMultilevel"/>
    <w:tmpl w:val="C5087E36"/>
    <w:lvl w:ilvl="0" w:tplc="3A72765C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35"/>
  </w:num>
  <w:num w:numId="3">
    <w:abstractNumId w:val="7"/>
  </w:num>
  <w:num w:numId="4">
    <w:abstractNumId w:val="17"/>
  </w:num>
  <w:num w:numId="5">
    <w:abstractNumId w:val="23"/>
  </w:num>
  <w:num w:numId="6">
    <w:abstractNumId w:val="3"/>
  </w:num>
  <w:num w:numId="7">
    <w:abstractNumId w:val="9"/>
  </w:num>
  <w:num w:numId="8">
    <w:abstractNumId w:val="28"/>
  </w:num>
  <w:num w:numId="9">
    <w:abstractNumId w:val="16"/>
  </w:num>
  <w:num w:numId="10">
    <w:abstractNumId w:val="20"/>
  </w:num>
  <w:num w:numId="11">
    <w:abstractNumId w:val="10"/>
  </w:num>
  <w:num w:numId="12">
    <w:abstractNumId w:val="5"/>
  </w:num>
  <w:num w:numId="13">
    <w:abstractNumId w:val="34"/>
  </w:num>
  <w:num w:numId="14">
    <w:abstractNumId w:val="24"/>
  </w:num>
  <w:num w:numId="15">
    <w:abstractNumId w:val="22"/>
  </w:num>
  <w:num w:numId="16">
    <w:abstractNumId w:val="2"/>
  </w:num>
  <w:num w:numId="17">
    <w:abstractNumId w:val="39"/>
  </w:num>
  <w:num w:numId="18">
    <w:abstractNumId w:val="32"/>
  </w:num>
  <w:num w:numId="19">
    <w:abstractNumId w:val="15"/>
  </w:num>
  <w:num w:numId="20">
    <w:abstractNumId w:val="14"/>
  </w:num>
  <w:num w:numId="21">
    <w:abstractNumId w:val="12"/>
  </w:num>
  <w:num w:numId="22">
    <w:abstractNumId w:val="38"/>
  </w:num>
  <w:num w:numId="23">
    <w:abstractNumId w:val="27"/>
  </w:num>
  <w:num w:numId="24">
    <w:abstractNumId w:val="18"/>
  </w:num>
  <w:num w:numId="25">
    <w:abstractNumId w:val="8"/>
  </w:num>
  <w:num w:numId="26">
    <w:abstractNumId w:val="13"/>
  </w:num>
  <w:num w:numId="27">
    <w:abstractNumId w:val="26"/>
  </w:num>
  <w:num w:numId="28">
    <w:abstractNumId w:val="36"/>
  </w:num>
  <w:num w:numId="29">
    <w:abstractNumId w:val="33"/>
  </w:num>
  <w:num w:numId="30">
    <w:abstractNumId w:val="30"/>
  </w:num>
  <w:num w:numId="31">
    <w:abstractNumId w:val="0"/>
  </w:num>
  <w:num w:numId="32">
    <w:abstractNumId w:val="4"/>
  </w:num>
  <w:num w:numId="33">
    <w:abstractNumId w:val="6"/>
  </w:num>
  <w:num w:numId="34">
    <w:abstractNumId w:val="40"/>
  </w:num>
  <w:num w:numId="35">
    <w:abstractNumId w:val="11"/>
  </w:num>
  <w:num w:numId="36">
    <w:abstractNumId w:val="1"/>
  </w:num>
  <w:num w:numId="37">
    <w:abstractNumId w:val="6"/>
    <w:lvlOverride w:ilvl="0">
      <w:lvl w:ilvl="0" w:tplc="8C7625CC">
        <w:start w:val="1"/>
        <w:numFmt w:val="decimal"/>
        <w:lvlText w:val="%1)"/>
        <w:lvlJc w:val="left"/>
        <w:pPr>
          <w:ind w:left="284" w:firstLine="76"/>
        </w:pPr>
        <w:rPr>
          <w:rFonts w:hint="default"/>
          <w:b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19"/>
  </w:num>
  <w:num w:numId="39">
    <w:abstractNumId w:val="31"/>
  </w:num>
  <w:num w:numId="40">
    <w:abstractNumId w:val="25"/>
  </w:num>
  <w:num w:numId="41">
    <w:abstractNumId w:val="21"/>
  </w:num>
  <w:num w:numId="42">
    <w:abstractNumId w:val="2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410"/>
    <w:rsid w:val="00007A98"/>
    <w:rsid w:val="00013822"/>
    <w:rsid w:val="00015860"/>
    <w:rsid w:val="00022156"/>
    <w:rsid w:val="0002617B"/>
    <w:rsid w:val="00031603"/>
    <w:rsid w:val="00037C31"/>
    <w:rsid w:val="00041281"/>
    <w:rsid w:val="000419A8"/>
    <w:rsid w:val="0004659E"/>
    <w:rsid w:val="00053ED4"/>
    <w:rsid w:val="00053FEC"/>
    <w:rsid w:val="0006047B"/>
    <w:rsid w:val="00062894"/>
    <w:rsid w:val="00067DC7"/>
    <w:rsid w:val="00070EE4"/>
    <w:rsid w:val="00072A49"/>
    <w:rsid w:val="00073474"/>
    <w:rsid w:val="00074D46"/>
    <w:rsid w:val="000750F5"/>
    <w:rsid w:val="00076B29"/>
    <w:rsid w:val="00076C4E"/>
    <w:rsid w:val="000A0AEE"/>
    <w:rsid w:val="000A104F"/>
    <w:rsid w:val="000A23A8"/>
    <w:rsid w:val="000A4641"/>
    <w:rsid w:val="000B1248"/>
    <w:rsid w:val="000B3A8E"/>
    <w:rsid w:val="000C3F05"/>
    <w:rsid w:val="000C4D6C"/>
    <w:rsid w:val="000C5954"/>
    <w:rsid w:val="000D54BE"/>
    <w:rsid w:val="000E1D4C"/>
    <w:rsid w:val="000F1180"/>
    <w:rsid w:val="0010371D"/>
    <w:rsid w:val="001054C0"/>
    <w:rsid w:val="00111586"/>
    <w:rsid w:val="00111BAE"/>
    <w:rsid w:val="0011409A"/>
    <w:rsid w:val="001151DD"/>
    <w:rsid w:val="00126B7E"/>
    <w:rsid w:val="00134F18"/>
    <w:rsid w:val="00140D5C"/>
    <w:rsid w:val="0014150F"/>
    <w:rsid w:val="00144A32"/>
    <w:rsid w:val="00160D57"/>
    <w:rsid w:val="00160F2E"/>
    <w:rsid w:val="00163A5C"/>
    <w:rsid w:val="0018549A"/>
    <w:rsid w:val="0018726B"/>
    <w:rsid w:val="00193A0B"/>
    <w:rsid w:val="001A5D03"/>
    <w:rsid w:val="001A70E7"/>
    <w:rsid w:val="001B3645"/>
    <w:rsid w:val="001B4C15"/>
    <w:rsid w:val="001B5D36"/>
    <w:rsid w:val="001C1482"/>
    <w:rsid w:val="001C2203"/>
    <w:rsid w:val="001C7F50"/>
    <w:rsid w:val="001E01B7"/>
    <w:rsid w:val="001E4E14"/>
    <w:rsid w:val="001F277F"/>
    <w:rsid w:val="001F3DA8"/>
    <w:rsid w:val="001F4A92"/>
    <w:rsid w:val="001F6410"/>
    <w:rsid w:val="001F6E7E"/>
    <w:rsid w:val="001F743D"/>
    <w:rsid w:val="00200BEA"/>
    <w:rsid w:val="002055DB"/>
    <w:rsid w:val="0020630E"/>
    <w:rsid w:val="0020649D"/>
    <w:rsid w:val="00207D51"/>
    <w:rsid w:val="00224F0D"/>
    <w:rsid w:val="0022618E"/>
    <w:rsid w:val="00226DE1"/>
    <w:rsid w:val="00233D4F"/>
    <w:rsid w:val="002411AF"/>
    <w:rsid w:val="00243DCA"/>
    <w:rsid w:val="002538FD"/>
    <w:rsid w:val="00271F85"/>
    <w:rsid w:val="00283B9D"/>
    <w:rsid w:val="00285D2D"/>
    <w:rsid w:val="0029503F"/>
    <w:rsid w:val="00296615"/>
    <w:rsid w:val="00297860"/>
    <w:rsid w:val="002A5976"/>
    <w:rsid w:val="002B5857"/>
    <w:rsid w:val="002B795A"/>
    <w:rsid w:val="002C0ACD"/>
    <w:rsid w:val="002C53A7"/>
    <w:rsid w:val="002C682E"/>
    <w:rsid w:val="002E07D7"/>
    <w:rsid w:val="002E2E90"/>
    <w:rsid w:val="002E4C0F"/>
    <w:rsid w:val="002F12BE"/>
    <w:rsid w:val="00300792"/>
    <w:rsid w:val="00300E37"/>
    <w:rsid w:val="00304915"/>
    <w:rsid w:val="00316464"/>
    <w:rsid w:val="00331813"/>
    <w:rsid w:val="00335161"/>
    <w:rsid w:val="00337E90"/>
    <w:rsid w:val="003431A5"/>
    <w:rsid w:val="00350159"/>
    <w:rsid w:val="00352311"/>
    <w:rsid w:val="003558E8"/>
    <w:rsid w:val="00361733"/>
    <w:rsid w:val="00363D9B"/>
    <w:rsid w:val="00371DD0"/>
    <w:rsid w:val="00374244"/>
    <w:rsid w:val="003743D7"/>
    <w:rsid w:val="00382641"/>
    <w:rsid w:val="003917C6"/>
    <w:rsid w:val="00397A9D"/>
    <w:rsid w:val="003A19E4"/>
    <w:rsid w:val="003A56E7"/>
    <w:rsid w:val="003A722B"/>
    <w:rsid w:val="003B08C4"/>
    <w:rsid w:val="003C24B0"/>
    <w:rsid w:val="003D12EB"/>
    <w:rsid w:val="003D1C07"/>
    <w:rsid w:val="003D3AE0"/>
    <w:rsid w:val="003D4D70"/>
    <w:rsid w:val="003E3430"/>
    <w:rsid w:val="003F1A52"/>
    <w:rsid w:val="003F656D"/>
    <w:rsid w:val="00402C37"/>
    <w:rsid w:val="004048BE"/>
    <w:rsid w:val="004071E4"/>
    <w:rsid w:val="004101AB"/>
    <w:rsid w:val="0042416B"/>
    <w:rsid w:val="00424ED3"/>
    <w:rsid w:val="00434B1D"/>
    <w:rsid w:val="0043521C"/>
    <w:rsid w:val="00436EDF"/>
    <w:rsid w:val="00440A92"/>
    <w:rsid w:val="0044654D"/>
    <w:rsid w:val="00447717"/>
    <w:rsid w:val="00447E51"/>
    <w:rsid w:val="00450529"/>
    <w:rsid w:val="00450B16"/>
    <w:rsid w:val="00455FA8"/>
    <w:rsid w:val="004560D5"/>
    <w:rsid w:val="00461FDF"/>
    <w:rsid w:val="0046778D"/>
    <w:rsid w:val="0047207D"/>
    <w:rsid w:val="004723CF"/>
    <w:rsid w:val="0047665D"/>
    <w:rsid w:val="0048277D"/>
    <w:rsid w:val="00482BD7"/>
    <w:rsid w:val="00486BE2"/>
    <w:rsid w:val="00487C35"/>
    <w:rsid w:val="004912B6"/>
    <w:rsid w:val="0049324E"/>
    <w:rsid w:val="004942AE"/>
    <w:rsid w:val="004953D6"/>
    <w:rsid w:val="00495F2A"/>
    <w:rsid w:val="004A5786"/>
    <w:rsid w:val="004B21B0"/>
    <w:rsid w:val="004C3F01"/>
    <w:rsid w:val="004E2E08"/>
    <w:rsid w:val="004E3DF7"/>
    <w:rsid w:val="004E4A50"/>
    <w:rsid w:val="004F4437"/>
    <w:rsid w:val="004F7686"/>
    <w:rsid w:val="005011F8"/>
    <w:rsid w:val="00501ACD"/>
    <w:rsid w:val="005212F4"/>
    <w:rsid w:val="00524D13"/>
    <w:rsid w:val="005508BE"/>
    <w:rsid w:val="005525F3"/>
    <w:rsid w:val="00552C24"/>
    <w:rsid w:val="005621F5"/>
    <w:rsid w:val="00565C40"/>
    <w:rsid w:val="0057389F"/>
    <w:rsid w:val="0058450D"/>
    <w:rsid w:val="00597F9B"/>
    <w:rsid w:val="005A634E"/>
    <w:rsid w:val="005A778F"/>
    <w:rsid w:val="005B26D9"/>
    <w:rsid w:val="005B6283"/>
    <w:rsid w:val="005B6D2B"/>
    <w:rsid w:val="005C112E"/>
    <w:rsid w:val="005C2DBF"/>
    <w:rsid w:val="005D31B1"/>
    <w:rsid w:val="005E0E3F"/>
    <w:rsid w:val="005E1C9E"/>
    <w:rsid w:val="005F55BC"/>
    <w:rsid w:val="005F5E5B"/>
    <w:rsid w:val="005F750C"/>
    <w:rsid w:val="00603694"/>
    <w:rsid w:val="0060411C"/>
    <w:rsid w:val="00607408"/>
    <w:rsid w:val="006133E1"/>
    <w:rsid w:val="006157DB"/>
    <w:rsid w:val="0062278E"/>
    <w:rsid w:val="00624AED"/>
    <w:rsid w:val="00626EB2"/>
    <w:rsid w:val="0062765C"/>
    <w:rsid w:val="00634507"/>
    <w:rsid w:val="00635843"/>
    <w:rsid w:val="0064735D"/>
    <w:rsid w:val="00647708"/>
    <w:rsid w:val="0066315C"/>
    <w:rsid w:val="0066525D"/>
    <w:rsid w:val="006746F5"/>
    <w:rsid w:val="0068249A"/>
    <w:rsid w:val="006932DF"/>
    <w:rsid w:val="0069333C"/>
    <w:rsid w:val="00694D4B"/>
    <w:rsid w:val="0069578D"/>
    <w:rsid w:val="006958CC"/>
    <w:rsid w:val="006A714E"/>
    <w:rsid w:val="006A75EC"/>
    <w:rsid w:val="006B6510"/>
    <w:rsid w:val="006C5347"/>
    <w:rsid w:val="006C543F"/>
    <w:rsid w:val="006D1D18"/>
    <w:rsid w:val="006E09D1"/>
    <w:rsid w:val="006E7CBD"/>
    <w:rsid w:val="006F16FC"/>
    <w:rsid w:val="00705C8D"/>
    <w:rsid w:val="00711315"/>
    <w:rsid w:val="0071370D"/>
    <w:rsid w:val="00722217"/>
    <w:rsid w:val="00725070"/>
    <w:rsid w:val="00730146"/>
    <w:rsid w:val="0073205F"/>
    <w:rsid w:val="00733E74"/>
    <w:rsid w:val="007366B9"/>
    <w:rsid w:val="00742ACA"/>
    <w:rsid w:val="00773DFF"/>
    <w:rsid w:val="007827B9"/>
    <w:rsid w:val="007843E3"/>
    <w:rsid w:val="00784F62"/>
    <w:rsid w:val="007908A0"/>
    <w:rsid w:val="007917E3"/>
    <w:rsid w:val="00796632"/>
    <w:rsid w:val="007A77E2"/>
    <w:rsid w:val="007A7CFB"/>
    <w:rsid w:val="007B7AE2"/>
    <w:rsid w:val="007C1216"/>
    <w:rsid w:val="007C1478"/>
    <w:rsid w:val="007C2A43"/>
    <w:rsid w:val="007D3928"/>
    <w:rsid w:val="007E18FE"/>
    <w:rsid w:val="007E4183"/>
    <w:rsid w:val="007E7939"/>
    <w:rsid w:val="007F6DA0"/>
    <w:rsid w:val="00801650"/>
    <w:rsid w:val="0080319C"/>
    <w:rsid w:val="00810816"/>
    <w:rsid w:val="00826261"/>
    <w:rsid w:val="008311BF"/>
    <w:rsid w:val="008369DB"/>
    <w:rsid w:val="008411A9"/>
    <w:rsid w:val="00842215"/>
    <w:rsid w:val="00851623"/>
    <w:rsid w:val="0085418C"/>
    <w:rsid w:val="00855B69"/>
    <w:rsid w:val="00861A6A"/>
    <w:rsid w:val="008656CB"/>
    <w:rsid w:val="00877358"/>
    <w:rsid w:val="00884101"/>
    <w:rsid w:val="00890DA2"/>
    <w:rsid w:val="00894A8C"/>
    <w:rsid w:val="00897BAC"/>
    <w:rsid w:val="008A091C"/>
    <w:rsid w:val="008A3B6F"/>
    <w:rsid w:val="008A7CF5"/>
    <w:rsid w:val="008D53AF"/>
    <w:rsid w:val="008D744B"/>
    <w:rsid w:val="008E126A"/>
    <w:rsid w:val="008E369D"/>
    <w:rsid w:val="008F1578"/>
    <w:rsid w:val="008F2532"/>
    <w:rsid w:val="008F49FD"/>
    <w:rsid w:val="009115F6"/>
    <w:rsid w:val="00912E61"/>
    <w:rsid w:val="00913B63"/>
    <w:rsid w:val="00920862"/>
    <w:rsid w:val="00920E22"/>
    <w:rsid w:val="009221DF"/>
    <w:rsid w:val="00926507"/>
    <w:rsid w:val="00926B6A"/>
    <w:rsid w:val="009273F9"/>
    <w:rsid w:val="00935231"/>
    <w:rsid w:val="00967229"/>
    <w:rsid w:val="009769F4"/>
    <w:rsid w:val="00982A13"/>
    <w:rsid w:val="00990A30"/>
    <w:rsid w:val="009A28A9"/>
    <w:rsid w:val="009A6D47"/>
    <w:rsid w:val="009B0D0D"/>
    <w:rsid w:val="009B1924"/>
    <w:rsid w:val="009B4AB5"/>
    <w:rsid w:val="009C50CE"/>
    <w:rsid w:val="009D6F16"/>
    <w:rsid w:val="009D7F1D"/>
    <w:rsid w:val="009E631B"/>
    <w:rsid w:val="009E6DD9"/>
    <w:rsid w:val="009F4249"/>
    <w:rsid w:val="009F6A1C"/>
    <w:rsid w:val="00A03F1A"/>
    <w:rsid w:val="00A1243B"/>
    <w:rsid w:val="00A12A5B"/>
    <w:rsid w:val="00A17FAD"/>
    <w:rsid w:val="00A24429"/>
    <w:rsid w:val="00A27695"/>
    <w:rsid w:val="00A308AA"/>
    <w:rsid w:val="00A34338"/>
    <w:rsid w:val="00A430B9"/>
    <w:rsid w:val="00A47267"/>
    <w:rsid w:val="00A4748F"/>
    <w:rsid w:val="00A557DC"/>
    <w:rsid w:val="00A575A3"/>
    <w:rsid w:val="00A62A16"/>
    <w:rsid w:val="00A677C9"/>
    <w:rsid w:val="00A72F87"/>
    <w:rsid w:val="00A76D2A"/>
    <w:rsid w:val="00A84463"/>
    <w:rsid w:val="00A93C90"/>
    <w:rsid w:val="00A97C41"/>
    <w:rsid w:val="00AC0DE9"/>
    <w:rsid w:val="00AC1187"/>
    <w:rsid w:val="00AD036D"/>
    <w:rsid w:val="00AD0E81"/>
    <w:rsid w:val="00AD1BE3"/>
    <w:rsid w:val="00AD25C3"/>
    <w:rsid w:val="00AD2C59"/>
    <w:rsid w:val="00AD3F47"/>
    <w:rsid w:val="00AD3F5D"/>
    <w:rsid w:val="00AD60E9"/>
    <w:rsid w:val="00AD6780"/>
    <w:rsid w:val="00AF183C"/>
    <w:rsid w:val="00AF1B22"/>
    <w:rsid w:val="00AF437A"/>
    <w:rsid w:val="00AF7765"/>
    <w:rsid w:val="00B02577"/>
    <w:rsid w:val="00B02B9E"/>
    <w:rsid w:val="00B1240B"/>
    <w:rsid w:val="00B13346"/>
    <w:rsid w:val="00B24346"/>
    <w:rsid w:val="00B245BA"/>
    <w:rsid w:val="00B273D1"/>
    <w:rsid w:val="00B33252"/>
    <w:rsid w:val="00B35B00"/>
    <w:rsid w:val="00B44BE3"/>
    <w:rsid w:val="00B4639D"/>
    <w:rsid w:val="00B46405"/>
    <w:rsid w:val="00B47346"/>
    <w:rsid w:val="00B50630"/>
    <w:rsid w:val="00B52D54"/>
    <w:rsid w:val="00B530AF"/>
    <w:rsid w:val="00B62A8F"/>
    <w:rsid w:val="00B66DCC"/>
    <w:rsid w:val="00B714A0"/>
    <w:rsid w:val="00B76E89"/>
    <w:rsid w:val="00B76FC9"/>
    <w:rsid w:val="00B806CF"/>
    <w:rsid w:val="00B82054"/>
    <w:rsid w:val="00B84AAD"/>
    <w:rsid w:val="00B879E6"/>
    <w:rsid w:val="00B87ED6"/>
    <w:rsid w:val="00B97A8A"/>
    <w:rsid w:val="00BA253E"/>
    <w:rsid w:val="00BA3C1F"/>
    <w:rsid w:val="00BB1401"/>
    <w:rsid w:val="00BB6041"/>
    <w:rsid w:val="00BB6B0F"/>
    <w:rsid w:val="00BB77A4"/>
    <w:rsid w:val="00BD03A6"/>
    <w:rsid w:val="00BD253D"/>
    <w:rsid w:val="00BD3719"/>
    <w:rsid w:val="00BD375D"/>
    <w:rsid w:val="00BD54CD"/>
    <w:rsid w:val="00BE1457"/>
    <w:rsid w:val="00C00277"/>
    <w:rsid w:val="00C07435"/>
    <w:rsid w:val="00C13E5A"/>
    <w:rsid w:val="00C14673"/>
    <w:rsid w:val="00C1560F"/>
    <w:rsid w:val="00C22372"/>
    <w:rsid w:val="00C23B87"/>
    <w:rsid w:val="00C25A91"/>
    <w:rsid w:val="00C32240"/>
    <w:rsid w:val="00C40DF3"/>
    <w:rsid w:val="00C43972"/>
    <w:rsid w:val="00C456F2"/>
    <w:rsid w:val="00C46BB8"/>
    <w:rsid w:val="00C622BD"/>
    <w:rsid w:val="00C77288"/>
    <w:rsid w:val="00C83E48"/>
    <w:rsid w:val="00C86018"/>
    <w:rsid w:val="00C86753"/>
    <w:rsid w:val="00C86B61"/>
    <w:rsid w:val="00C947AC"/>
    <w:rsid w:val="00CA187A"/>
    <w:rsid w:val="00CA4F35"/>
    <w:rsid w:val="00CB39E4"/>
    <w:rsid w:val="00CB49C5"/>
    <w:rsid w:val="00CC7C86"/>
    <w:rsid w:val="00CE0A80"/>
    <w:rsid w:val="00CE1917"/>
    <w:rsid w:val="00CE652B"/>
    <w:rsid w:val="00CF160E"/>
    <w:rsid w:val="00D01ED1"/>
    <w:rsid w:val="00D021B4"/>
    <w:rsid w:val="00D051BE"/>
    <w:rsid w:val="00D071EB"/>
    <w:rsid w:val="00D0754A"/>
    <w:rsid w:val="00D07A87"/>
    <w:rsid w:val="00D11104"/>
    <w:rsid w:val="00D117A5"/>
    <w:rsid w:val="00D15DAE"/>
    <w:rsid w:val="00D17A31"/>
    <w:rsid w:val="00D22EAB"/>
    <w:rsid w:val="00D36068"/>
    <w:rsid w:val="00D4162E"/>
    <w:rsid w:val="00D41C3C"/>
    <w:rsid w:val="00D444AB"/>
    <w:rsid w:val="00D53E9B"/>
    <w:rsid w:val="00D574D1"/>
    <w:rsid w:val="00D637FF"/>
    <w:rsid w:val="00D72400"/>
    <w:rsid w:val="00D82658"/>
    <w:rsid w:val="00D83867"/>
    <w:rsid w:val="00D90967"/>
    <w:rsid w:val="00D92BCA"/>
    <w:rsid w:val="00DA52ED"/>
    <w:rsid w:val="00DA765D"/>
    <w:rsid w:val="00DD7A92"/>
    <w:rsid w:val="00DD7CA0"/>
    <w:rsid w:val="00DF210D"/>
    <w:rsid w:val="00DF3728"/>
    <w:rsid w:val="00DF5410"/>
    <w:rsid w:val="00E00EFE"/>
    <w:rsid w:val="00E0163A"/>
    <w:rsid w:val="00E06B3B"/>
    <w:rsid w:val="00E21783"/>
    <w:rsid w:val="00E33A8B"/>
    <w:rsid w:val="00E40C27"/>
    <w:rsid w:val="00E47140"/>
    <w:rsid w:val="00E51C53"/>
    <w:rsid w:val="00E53BFF"/>
    <w:rsid w:val="00E57030"/>
    <w:rsid w:val="00E7170E"/>
    <w:rsid w:val="00E71C2F"/>
    <w:rsid w:val="00E72FFF"/>
    <w:rsid w:val="00E8015F"/>
    <w:rsid w:val="00E81808"/>
    <w:rsid w:val="00E87A79"/>
    <w:rsid w:val="00E90918"/>
    <w:rsid w:val="00E90933"/>
    <w:rsid w:val="00E91CBB"/>
    <w:rsid w:val="00E923B5"/>
    <w:rsid w:val="00E9665C"/>
    <w:rsid w:val="00E97130"/>
    <w:rsid w:val="00EB0C7F"/>
    <w:rsid w:val="00EC0C8B"/>
    <w:rsid w:val="00ED181A"/>
    <w:rsid w:val="00ED43E8"/>
    <w:rsid w:val="00EE08AE"/>
    <w:rsid w:val="00EE0F42"/>
    <w:rsid w:val="00EE2FA7"/>
    <w:rsid w:val="00EF4D9B"/>
    <w:rsid w:val="00EF5340"/>
    <w:rsid w:val="00EF682C"/>
    <w:rsid w:val="00F03D18"/>
    <w:rsid w:val="00F04907"/>
    <w:rsid w:val="00F17E5C"/>
    <w:rsid w:val="00F228DF"/>
    <w:rsid w:val="00F22E5E"/>
    <w:rsid w:val="00F23419"/>
    <w:rsid w:val="00F23E03"/>
    <w:rsid w:val="00F24073"/>
    <w:rsid w:val="00F2756D"/>
    <w:rsid w:val="00F3140B"/>
    <w:rsid w:val="00F33AC7"/>
    <w:rsid w:val="00F3482B"/>
    <w:rsid w:val="00F3518F"/>
    <w:rsid w:val="00F41CDF"/>
    <w:rsid w:val="00F43F60"/>
    <w:rsid w:val="00F47230"/>
    <w:rsid w:val="00F47318"/>
    <w:rsid w:val="00F55113"/>
    <w:rsid w:val="00F55D8C"/>
    <w:rsid w:val="00F66B2D"/>
    <w:rsid w:val="00F66F41"/>
    <w:rsid w:val="00F677F6"/>
    <w:rsid w:val="00F71FA5"/>
    <w:rsid w:val="00F91B3E"/>
    <w:rsid w:val="00F96E3A"/>
    <w:rsid w:val="00F97A48"/>
    <w:rsid w:val="00FA14AE"/>
    <w:rsid w:val="00FB4152"/>
    <w:rsid w:val="00FB465E"/>
    <w:rsid w:val="00FB73D8"/>
    <w:rsid w:val="00FC0A74"/>
    <w:rsid w:val="00FC2DC0"/>
    <w:rsid w:val="00FC2E82"/>
    <w:rsid w:val="00FC5092"/>
    <w:rsid w:val="00FC5F24"/>
    <w:rsid w:val="00FD1976"/>
    <w:rsid w:val="00FD4DAD"/>
    <w:rsid w:val="00FD6888"/>
    <w:rsid w:val="00FE5512"/>
    <w:rsid w:val="00FE6C43"/>
    <w:rsid w:val="00FF30CD"/>
    <w:rsid w:val="00FF47B2"/>
    <w:rsid w:val="00FF5E30"/>
    <w:rsid w:val="00FF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36D"/>
    <w:pPr>
      <w:ind w:left="453" w:hanging="34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375D"/>
    <w:rPr>
      <w:rFonts w:ascii="Verdana" w:hAnsi="Verdana" w:hint="default"/>
      <w:strike w:val="0"/>
      <w:dstrike w:val="0"/>
      <w:color w:val="CC0A01"/>
      <w:sz w:val="14"/>
      <w:szCs w:val="1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D17A3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05C8D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9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91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91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9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95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9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36D"/>
    <w:pPr>
      <w:ind w:left="453" w:hanging="34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375D"/>
    <w:rPr>
      <w:rFonts w:ascii="Verdana" w:hAnsi="Verdana" w:hint="default"/>
      <w:strike w:val="0"/>
      <w:dstrike w:val="0"/>
      <w:color w:val="CC0A01"/>
      <w:sz w:val="14"/>
      <w:szCs w:val="1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D17A3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05C8D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91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91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91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9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95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9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wer\Users\PiotrW\Pulpit\uchwa&#322;a%20w%20sprawie%20zasad%20obrotu%20nieruchomo&#347;ciami\projekt%20uchwa&#322;y%20Rady%20w%20sprawie%20zasad%20do%20przekazania%20na%20Zarz&#261;d.doc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szubin.pl/?app=uchwaly&amp;nid=15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zubin.pl/?app=uchwaly&amp;nid=150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9B7D-4D50-4288-8A42-C2E2E62D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2771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Geodezji</Company>
  <LinksUpToDate>false</LinksUpToDate>
  <CharactersWithSpaces>19365</CharactersWithSpaces>
  <SharedDoc>false</SharedDoc>
  <HLinks>
    <vt:vector size="24" baseType="variant">
      <vt:variant>
        <vt:i4>6357025</vt:i4>
      </vt:variant>
      <vt:variant>
        <vt:i4>9</vt:i4>
      </vt:variant>
      <vt:variant>
        <vt:i4>0</vt:i4>
      </vt:variant>
      <vt:variant>
        <vt:i4>5</vt:i4>
      </vt:variant>
      <vt:variant>
        <vt:lpwstr>http://www.bip.szubin.pl/?app=uchwaly&amp;nid=1508</vt:lpwstr>
      </vt:variant>
      <vt:variant>
        <vt:lpwstr/>
      </vt:variant>
      <vt:variant>
        <vt:i4>6357025</vt:i4>
      </vt:variant>
      <vt:variant>
        <vt:i4>6</vt:i4>
      </vt:variant>
      <vt:variant>
        <vt:i4>0</vt:i4>
      </vt:variant>
      <vt:variant>
        <vt:i4>5</vt:i4>
      </vt:variant>
      <vt:variant>
        <vt:lpwstr>http://www.bip.szubin.pl/?app=uchwaly&amp;nid=1508</vt:lpwstr>
      </vt:variant>
      <vt:variant>
        <vt:lpwstr/>
      </vt:variant>
      <vt:variant>
        <vt:i4>18350098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zastrzeżenie1</vt:lpwstr>
      </vt:variant>
      <vt:variant>
        <vt:i4>18350098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zastrzeżenie1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PiotrW</dc:creator>
  <cp:lastModifiedBy>.</cp:lastModifiedBy>
  <cp:revision>4</cp:revision>
  <cp:lastPrinted>2012-04-16T09:04:00Z</cp:lastPrinted>
  <dcterms:created xsi:type="dcterms:W3CDTF">2012-04-16T09:09:00Z</dcterms:created>
  <dcterms:modified xsi:type="dcterms:W3CDTF">2012-04-19T08:07:00Z</dcterms:modified>
</cp:coreProperties>
</file>